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PROCEDIMENTO TRIBUTÁRIO DE CONTRIBUIÇÃO DE MELHORIA Nº 001/2021</w:t>
      </w:r>
    </w:p>
    <w:p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ind w:left="5103" w:hanging="510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EDITAL Nº 002/2023 - EXECUÇÃO DE OBRA DE PAVIMENTAÇÃO</w:t>
      </w:r>
    </w:p>
    <w:p>
      <w:pPr>
        <w:spacing w:after="0" w:line="276" w:lineRule="auto"/>
        <w:ind w:left="5103" w:hanging="5103"/>
        <w:jc w:val="center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EDITAL DE LANÇAMENTO DE CONTRIBUIÇÃO DE MELHORIA REFERENTE À REALIZAÇÃO DA OBRA DE PAVIMENTAÇÃO ASFÁLTICA NOS TRECHOS DAS RUAS TAPUIAS, ALBINO RIGON E JUSSARA.</w:t>
      </w: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MUNICÍPIO DE TENENTE PORTELA, por seu Prefeito Municipal ROSEMAR ANTONIO SALA</w:t>
      </w:r>
      <w:r>
        <w:rPr>
          <w:rFonts w:ascii="Arial" w:hAnsi="Arial" w:cs="Arial"/>
          <w:sz w:val="24"/>
          <w:szCs w:val="24"/>
        </w:rPr>
        <w:t xml:space="preserve">, no uso das atribuições que lhe confere a Lei Orgânica Municipal com base no artigo 145, III, da Constituição Federal, nos artigos 81 e 82 do Código Tributário Nacional, no Decreto-Lei n° 195/67, na Lei Municipal nº 2.693/2020 e nos artigos 121 a 140 do Código Tributário Municipal, </w:t>
      </w:r>
      <w:r>
        <w:rPr>
          <w:rFonts w:ascii="Arial" w:hAnsi="Arial" w:cs="Arial"/>
          <w:b/>
          <w:sz w:val="24"/>
          <w:szCs w:val="24"/>
        </w:rPr>
        <w:t xml:space="preserve">TORNA PÚBLICO </w:t>
      </w:r>
      <w:r>
        <w:rPr>
          <w:rFonts w:ascii="Arial" w:hAnsi="Arial" w:cs="Arial"/>
          <w:sz w:val="24"/>
          <w:szCs w:val="24"/>
        </w:rPr>
        <w:t xml:space="preserve">a quem possa interessar, que foram executadas obras de pavimentação com revestimento asfáltico a quente, rede de drenagem pluvial, sinalização horizontal e vertical de pistas de rolamento, no trecho das Ruas Tapuias, Albino Rigon e Jussara, nesta cidade de Tenente Portela, referente ao Edital de lançamento de Contribuição de Melhoria 001/2021 que estabeleceu a cobrança de Contribuição de Melhoria, ficando, pelo presente, </w:t>
      </w:r>
      <w:r>
        <w:rPr>
          <w:rFonts w:ascii="Arial" w:hAnsi="Arial" w:cs="Arial"/>
          <w:b/>
          <w:sz w:val="24"/>
          <w:szCs w:val="24"/>
        </w:rPr>
        <w:t>NOTIFICADOS</w:t>
      </w:r>
      <w:r>
        <w:rPr>
          <w:rFonts w:ascii="Arial" w:hAnsi="Arial" w:cs="Arial"/>
          <w:sz w:val="24"/>
          <w:szCs w:val="24"/>
        </w:rPr>
        <w:t xml:space="preserve"> todos os interessados (contribuintes, proprietários dos imóveis e/ou detentores do domínio dos imóveis abrangidos pela obra) do demonstrativo do custo final da obra, do Laudo de Avaliação dos Imóveis após a realização da Obra e do </w:t>
      </w:r>
      <w:r>
        <w:rPr>
          <w:rFonts w:ascii="Arial" w:hAnsi="Arial" w:cs="Arial"/>
          <w:b/>
          <w:sz w:val="24"/>
          <w:szCs w:val="24"/>
        </w:rPr>
        <w:t>LANÇAMENTO</w:t>
      </w:r>
      <w:r>
        <w:rPr>
          <w:rFonts w:ascii="Arial" w:hAnsi="Arial" w:cs="Arial"/>
          <w:sz w:val="24"/>
          <w:szCs w:val="24"/>
        </w:rPr>
        <w:t xml:space="preserve"> do débito tributário da Contribuição de Melhoria para os contribuintes, proprietários dos imóveis e ou corresponsáveis tributários, dos imóveis que foram abrangidos, direta ou indiretamente pela obra:</w:t>
      </w:r>
    </w:p>
    <w:p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 Descrição da Obra: </w:t>
      </w:r>
      <w:r>
        <w:rPr>
          <w:rFonts w:ascii="Arial" w:hAnsi="Arial" w:cs="Arial"/>
          <w:sz w:val="24"/>
          <w:szCs w:val="24"/>
        </w:rPr>
        <w:t xml:space="preserve">Obra de pavimentação foi executada no leito da </w:t>
      </w:r>
      <w:r>
        <w:rPr>
          <w:rFonts w:ascii="Arial" w:hAnsi="Arial" w:cs="Arial"/>
          <w:b/>
          <w:sz w:val="24"/>
          <w:szCs w:val="24"/>
          <w:u w:val="single"/>
        </w:rPr>
        <w:t>Rua Tapuias</w:t>
      </w:r>
      <w:r>
        <w:rPr>
          <w:rFonts w:ascii="Arial" w:hAnsi="Arial" w:cs="Arial"/>
          <w:sz w:val="24"/>
          <w:szCs w:val="24"/>
        </w:rPr>
        <w:t xml:space="preserve">, trecho compreendido entre a Avenida Luis Carlos Prestes até a Praça Albino Rigon, o leito da </w:t>
      </w:r>
      <w:r>
        <w:rPr>
          <w:rFonts w:ascii="Arial" w:hAnsi="Arial" w:cs="Arial"/>
          <w:b/>
          <w:sz w:val="24"/>
          <w:szCs w:val="24"/>
          <w:u w:val="single"/>
        </w:rPr>
        <w:t>Rua Tapuias</w:t>
      </w:r>
      <w:r>
        <w:rPr>
          <w:rFonts w:ascii="Arial" w:hAnsi="Arial" w:cs="Arial"/>
          <w:sz w:val="24"/>
          <w:szCs w:val="24"/>
        </w:rPr>
        <w:t xml:space="preserve">, trecho compreendido no entorno da Praça Albino Rigon, no leito da </w:t>
      </w:r>
      <w:r>
        <w:rPr>
          <w:rFonts w:ascii="Arial" w:hAnsi="Arial" w:cs="Arial"/>
          <w:b/>
          <w:sz w:val="24"/>
          <w:szCs w:val="24"/>
          <w:u w:val="single"/>
        </w:rPr>
        <w:t>Rua Jussara</w:t>
      </w:r>
      <w:r>
        <w:rPr>
          <w:rFonts w:ascii="Arial" w:hAnsi="Arial" w:cs="Arial"/>
          <w:sz w:val="24"/>
          <w:szCs w:val="24"/>
        </w:rPr>
        <w:t xml:space="preserve">, trecho compreendido entre a Rua Tapijara e a Praça Albino Rigon, e no leito da </w:t>
      </w:r>
      <w:r>
        <w:rPr>
          <w:rFonts w:ascii="Arial" w:hAnsi="Arial" w:cs="Arial"/>
          <w:b/>
          <w:sz w:val="24"/>
          <w:szCs w:val="24"/>
          <w:u w:val="single"/>
        </w:rPr>
        <w:t>Rua Jussara</w:t>
      </w:r>
      <w:r>
        <w:rPr>
          <w:rFonts w:ascii="Arial" w:hAnsi="Arial" w:cs="Arial"/>
          <w:sz w:val="24"/>
          <w:szCs w:val="24"/>
        </w:rPr>
        <w:t>, trecho compreendido no entorno da Praça Albino Rigon. O total de pavimentação asfáltica foi de 2.944,07m².</w:t>
      </w:r>
    </w:p>
    <w:p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>
      <w:pPr>
        <w:numPr>
          <w:ilvl w:val="0"/>
          <w:numId w:val="1"/>
        </w:numPr>
        <w:spacing w:after="0" w:line="360" w:lineRule="auto"/>
        <w:ind w:right="-8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Custo final da obra: </w:t>
      </w:r>
      <w:r>
        <w:rPr>
          <w:rFonts w:ascii="Arial" w:hAnsi="Arial" w:cs="Arial"/>
          <w:sz w:val="24"/>
          <w:szCs w:val="24"/>
        </w:rPr>
        <w:t>R$ 228.221,44 (duzentos e vinte e oito mil, duzentos e vinte e um reais e quarenta e quatro centavos), compreendido nestes todos os materiais e serviços constantes no Projeto e Memorial Descritivo da Obra, assim constituído:</w:t>
      </w:r>
    </w:p>
    <w:p>
      <w:pPr>
        <w:numPr>
          <w:ilvl w:val="1"/>
          <w:numId w:val="1"/>
        </w:numPr>
        <w:spacing w:after="0" w:line="360" w:lineRule="auto"/>
        <w:ind w:right="-8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Custo inicial da obra: </w:t>
      </w:r>
      <w:r>
        <w:rPr>
          <w:rFonts w:ascii="Arial" w:hAnsi="Arial" w:cs="Arial"/>
          <w:sz w:val="24"/>
          <w:szCs w:val="24"/>
        </w:rPr>
        <w:t>R$ 204.734,06 (duzentos e quatro mil, setecentos e trinta e quatro reais e seis centavos);</w:t>
      </w:r>
    </w:p>
    <w:p>
      <w:pPr>
        <w:numPr>
          <w:ilvl w:val="1"/>
          <w:numId w:val="1"/>
        </w:numPr>
        <w:spacing w:after="0" w:line="360" w:lineRule="auto"/>
        <w:ind w:right="-8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>Reequilíbrio econômico e financeiro do contrato (alteração do custo da obra) conforme Parecer Técnico de Engenharia: R$ 23.487,38 (vinte e três mil, quatrocentos e oitenta e sete reais e trinta e oito centavos);</w:t>
      </w:r>
    </w:p>
    <w:p>
      <w:pPr>
        <w:spacing w:after="0" w:line="360" w:lineRule="auto"/>
        <w:ind w:right="-8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2.3 </w:t>
      </w:r>
      <w:r>
        <w:rPr>
          <w:rFonts w:ascii="Arial" w:hAnsi="Arial" w:cs="Arial"/>
          <w:sz w:val="24"/>
          <w:szCs w:val="24"/>
        </w:rPr>
        <w:t xml:space="preserve">Valor dos recursos próprios aportados pelo Município considerados para a Contribuição de Melhoria, por rua pavimentada: </w:t>
      </w:r>
    </w:p>
    <w:p>
      <w:pPr>
        <w:pStyle w:val="18"/>
        <w:tabs>
          <w:tab w:val="left" w:pos="284"/>
          <w:tab w:val="left" w:pos="1134"/>
        </w:tabs>
        <w:spacing w:line="360" w:lineRule="auto"/>
        <w:ind w:left="851" w:right="-8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 Rua Tapuias e Rua Tapuias entorno da Praça Albino Rigon: R$ 110.801,51 (cento e dez mil, oitocentos e um reais e cinquenta e um centavos);</w:t>
      </w:r>
    </w:p>
    <w:p>
      <w:pPr>
        <w:pStyle w:val="18"/>
        <w:tabs>
          <w:tab w:val="left" w:pos="284"/>
          <w:tab w:val="left" w:pos="1134"/>
        </w:tabs>
        <w:spacing w:line="360" w:lineRule="auto"/>
        <w:ind w:left="851" w:right="-8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 Rua Jussara e Rua Jussara entorno da Praça Albino Rigon: R$ 117.419,93 (cento e dezessete mil, quatrocentos e dezenove reais e noventa e três centavos).</w:t>
      </w:r>
    </w:p>
    <w:p>
      <w:pPr>
        <w:pStyle w:val="18"/>
        <w:tabs>
          <w:tab w:val="left" w:pos="284"/>
          <w:tab w:val="left" w:pos="1134"/>
        </w:tabs>
        <w:spacing w:line="360" w:lineRule="auto"/>
        <w:ind w:left="851" w:right="-81"/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  <w:i/>
        </w:rPr>
        <w:t>TOTAL: R$ 228.221,44 (</w:t>
      </w:r>
      <w:r>
        <w:rPr>
          <w:rFonts w:ascii="Arial" w:hAnsi="Arial" w:cs="Arial"/>
          <w:b/>
          <w:bCs/>
        </w:rPr>
        <w:t>duzentos e vinte e oito mil, duzentos e vinte e um reais e quarenta e quatro centavos).</w:t>
      </w:r>
    </w:p>
    <w:p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Parcela da obra a ser financiada pela Contribuição de Melhoria: 50% </w:t>
      </w:r>
      <w:r>
        <w:rPr>
          <w:rFonts w:ascii="Arial" w:hAnsi="Arial" w:cs="Arial"/>
          <w:sz w:val="24"/>
          <w:szCs w:val="24"/>
        </w:rPr>
        <w:t>do valor total dos recursos próprios aportados como contrapartida pelo Município: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no montante de R$ 114.110,72 (cento e quatorze mil, cento e dez reais e setenta e dois centavos).</w:t>
      </w: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>
      <w:pPr>
        <w:tabs>
          <w:tab w:val="left" w:pos="426"/>
        </w:tabs>
        <w:spacing w:after="0" w:line="360" w:lineRule="auto"/>
        <w:ind w:right="-8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3.1 </w:t>
      </w:r>
      <w:r>
        <w:rPr>
          <w:rFonts w:ascii="Arial" w:hAnsi="Arial" w:cs="Arial"/>
          <w:sz w:val="24"/>
          <w:szCs w:val="24"/>
        </w:rPr>
        <w:t>Parcela da obra a ser financiada pela Contribuição de Melhoria por rua pavimentada:</w:t>
      </w:r>
    </w:p>
    <w:p>
      <w:pPr>
        <w:pStyle w:val="18"/>
        <w:tabs>
          <w:tab w:val="left" w:pos="284"/>
          <w:tab w:val="left" w:pos="1134"/>
        </w:tabs>
        <w:spacing w:line="360" w:lineRule="auto"/>
        <w:ind w:left="851" w:right="-8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 Rua Tapuias e Rua Tapuias entorno da Praça Albino Rigon: R$ 55.400,75 (cinquenta e cinco mil, quatrocentos reais e setenta e cinco centavos);</w:t>
      </w:r>
    </w:p>
    <w:p>
      <w:pPr>
        <w:pStyle w:val="18"/>
        <w:tabs>
          <w:tab w:val="left" w:pos="284"/>
          <w:tab w:val="left" w:pos="1134"/>
        </w:tabs>
        <w:spacing w:line="360" w:lineRule="auto"/>
        <w:ind w:left="851" w:right="-8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 Rua Jussara e Rua Jussara entorno da Praça Albino Rigon: R$ 58.709,97 (cinquenta e oito mil, setecentos e nove reais e noventa e sete centavos);</w:t>
      </w:r>
    </w:p>
    <w:p>
      <w:pPr>
        <w:pStyle w:val="18"/>
        <w:tabs>
          <w:tab w:val="left" w:pos="284"/>
          <w:tab w:val="left" w:pos="1134"/>
        </w:tabs>
        <w:spacing w:line="360" w:lineRule="auto"/>
        <w:ind w:left="851" w:right="-81"/>
        <w:jc w:val="both"/>
        <w:rPr>
          <w:rFonts w:ascii="Arial" w:hAnsi="Arial" w:cs="Arial"/>
          <w:i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 QUADRO RESUMO CONTENDO: imóveis beneficiados pela obra; avaliação antes da obra; avaliação após a obra; valorização decorrente da obra, valor da contribuição de melhoria e valor do lançamento de débito de contribuição de melhoria:</w:t>
      </w: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  <w:u w:val="single"/>
        </w:rPr>
        <w:t>IMÓVEIS DA RUA JUSSARA E ENTORNO DA PRAÇA ALBINO RIGON</w:t>
      </w:r>
    </w:p>
    <w:tbl>
      <w:tblPr>
        <w:tblStyle w:val="4"/>
        <w:tblpPr w:leftFromText="180" w:rightFromText="180" w:vertAnchor="text" w:horzAnchor="page" w:tblpX="1037" w:tblpY="382"/>
        <w:tblOverlap w:val="never"/>
        <w:tblW w:w="96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817"/>
        <w:gridCol w:w="917"/>
        <w:gridCol w:w="1167"/>
        <w:gridCol w:w="1117"/>
        <w:gridCol w:w="1157"/>
        <w:gridCol w:w="1187"/>
        <w:gridCol w:w="1067"/>
        <w:gridCol w:w="1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037" w:type="dxa"/>
            <w:shd w:val="clear" w:color="auto" w:fill="auto"/>
          </w:tcPr>
          <w:p>
            <w:pPr>
              <w:spacing w:after="0" w:line="240" w:lineRule="auto"/>
              <w:jc w:val="center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Lote nº</w:t>
            </w:r>
          </w:p>
        </w:tc>
        <w:tc>
          <w:tcPr>
            <w:tcW w:w="817" w:type="dxa"/>
            <w:shd w:val="clear" w:color="auto" w:fill="auto"/>
          </w:tcPr>
          <w:p>
            <w:pPr>
              <w:spacing w:after="0" w:line="240" w:lineRule="auto"/>
              <w:jc w:val="center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Quadra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center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Rateio 50% do custo da obra</w:t>
            </w:r>
          </w:p>
        </w:tc>
        <w:tc>
          <w:tcPr>
            <w:tcW w:w="1167" w:type="dxa"/>
            <w:shd w:val="clear" w:color="auto" w:fill="auto"/>
          </w:tcPr>
          <w:p>
            <w:pPr>
              <w:spacing w:after="0" w:line="240" w:lineRule="auto"/>
              <w:jc w:val="center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Avaliação Antes da obra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center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Avaliação Após a obra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center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Valorização decorrente da obra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Valor de contribuição de contribuição a ser cobrado</w:t>
            </w:r>
          </w:p>
        </w:tc>
        <w:tc>
          <w:tcPr>
            <w:tcW w:w="1067" w:type="dxa"/>
            <w:shd w:val="clear" w:color="auto" w:fill="auto"/>
          </w:tcPr>
          <w:p>
            <w:pPr>
              <w:spacing w:after="0" w:line="240" w:lineRule="auto"/>
              <w:jc w:val="both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Correção monetária, conforme art. 10, §2º, da Lei Municipal nº. 2.196/14</w:t>
            </w:r>
          </w:p>
        </w:tc>
        <w:tc>
          <w:tcPr>
            <w:tcW w:w="1227" w:type="dxa"/>
            <w:shd w:val="clear" w:color="auto" w:fill="auto"/>
          </w:tcPr>
          <w:p>
            <w:pPr>
              <w:spacing w:after="0" w:line="240" w:lineRule="auto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SimSun" w:cs="Arial"/>
                <w:color w:val="000000"/>
                <w:sz w:val="18"/>
                <w:szCs w:val="18"/>
                <w:lang w:val="en-US" w:eastAsia="zh-CN" w:bidi="ar"/>
              </w:rPr>
              <w:t>Total da Contribuição De Melhoria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12A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8.579,40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244.215,31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256.426,08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12.210,77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8.579,40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972,38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9.551,77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5.296,59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150.769,06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158.307,51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7.538,45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5.296,59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600,31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5.896,89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-  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-  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1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5.775,10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164.389,99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172.609,49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8.219,50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5.775,10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654,54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6.429,64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2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2.707,42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77.067,48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80.920,85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3.853,37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2.707,42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306,85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3.014,27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2.393,80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68.140,30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71.547,32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3.407,02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2.393,80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271,31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2.665,11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4.398,23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125.196,97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131.456,82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6.259,85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4.398,23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498,49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4.896,72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4.275,23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121.695,70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127.780,49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6.084,79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4.275,23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484,55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4.759,77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4.337,72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123.474,62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129.648,35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6.173,73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4.337,72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491,63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4.829,35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4.614,36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131.349,20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137.916,66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6.567,46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4.614,36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522,99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5.137,34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-  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-  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1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4.140,68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147.332,23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153.225,52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5.893,29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4.140,68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469,30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4.609,98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2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2.998,53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106.692,75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110.960,46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4.267,71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2.998,53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339,85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3.338,38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3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3.097,20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110.203,34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114.611,47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4.408,13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3.097,20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351,03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3.448,23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4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3.097,20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110.203,34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114.611,47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4.408,13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3.097,20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351,03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3.448,23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3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Unidade 5</w:t>
            </w:r>
          </w:p>
        </w:tc>
        <w:tc>
          <w:tcPr>
            <w:tcW w:w="81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2.998,53 </w:t>
            </w:r>
          </w:p>
        </w:tc>
        <w:tc>
          <w:tcPr>
            <w:tcW w:w="11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106.692,75 </w:t>
            </w:r>
          </w:p>
        </w:tc>
        <w:tc>
          <w:tcPr>
            <w:tcW w:w="111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110.960,46 </w:t>
            </w:r>
          </w:p>
        </w:tc>
        <w:tc>
          <w:tcPr>
            <w:tcW w:w="115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4.267,71 </w:t>
            </w:r>
          </w:p>
        </w:tc>
        <w:tc>
          <w:tcPr>
            <w:tcW w:w="1187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2.998,53 </w:t>
            </w:r>
          </w:p>
        </w:tc>
        <w:tc>
          <w:tcPr>
            <w:tcW w:w="106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339,85</w:t>
            </w:r>
          </w:p>
        </w:tc>
        <w:tc>
          <w:tcPr>
            <w:tcW w:w="1227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3.338,38 </w:t>
            </w:r>
          </w:p>
        </w:tc>
      </w:tr>
    </w:tbl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IMÓVEIS DA RUA TAPUIAS E ENTORNO DA PRAÇA ALBINO RIGON</w:t>
      </w:r>
    </w:p>
    <w:p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</w:p>
    <w:tbl>
      <w:tblPr>
        <w:tblStyle w:val="4"/>
        <w:tblW w:w="9934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60"/>
        <w:gridCol w:w="778"/>
        <w:gridCol w:w="1095"/>
        <w:gridCol w:w="1336"/>
        <w:gridCol w:w="1259"/>
        <w:gridCol w:w="1281"/>
        <w:gridCol w:w="1149"/>
        <w:gridCol w:w="1248"/>
        <w:gridCol w:w="11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05" w:hRule="atLeast"/>
        </w:trPr>
        <w:tc>
          <w:tcPr>
            <w:tcW w:w="66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Lote nº</w:t>
            </w:r>
          </w:p>
        </w:tc>
        <w:tc>
          <w:tcPr>
            <w:tcW w:w="77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Quadra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Rateio 50% do custo da obra</w:t>
            </w:r>
          </w:p>
        </w:tc>
        <w:tc>
          <w:tcPr>
            <w:tcW w:w="133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Avaliação Antes da obra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Avaliação Após a obra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Valorização decorrente da obra</w:t>
            </w:r>
          </w:p>
        </w:tc>
        <w:tc>
          <w:tcPr>
            <w:tcW w:w="1149" w:type="dxa"/>
            <w:shd w:val="clear" w:color="auto" w:fill="auto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Valor de contribuição de contribuição a ser cobrado</w:t>
            </w:r>
          </w:p>
        </w:tc>
        <w:tc>
          <w:tcPr>
            <w:tcW w:w="1248" w:type="dxa"/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Correção monetária, conforme art. 10, §2º, da Lei Municipal nº. 2.196/14</w:t>
            </w:r>
          </w:p>
        </w:tc>
        <w:tc>
          <w:tcPr>
            <w:tcW w:w="1128" w:type="dxa"/>
            <w:shd w:val="clear" w:color="auto" w:fill="auto"/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Total da Contribuição De Melhoria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5.628,47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221.792,63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232.882,26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</w:t>
            </w:r>
          </w:p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11.089,63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5.628,47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637,92 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6.266,40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2.549,31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100.456,75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105.479,59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5.022,84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2.549,31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288,94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2.838,24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2.068,86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81.524,34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85.600,56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4.076,22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2.068,86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234,48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2.303,34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09A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-  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   -  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-  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  -  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Unidade 1</w:t>
            </w:r>
          </w:p>
        </w:tc>
        <w:tc>
          <w:tcPr>
            <w:tcW w:w="778" w:type="dxa"/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5.707,62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224.911,52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236.157,10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</w:t>
            </w:r>
          </w:p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11.245,58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5.707,62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646,89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6.354,51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Unidade 2</w:t>
            </w:r>
          </w:p>
        </w:tc>
        <w:tc>
          <w:tcPr>
            <w:tcW w:w="778" w:type="dxa"/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1.220,20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48.082,44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50.486,56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2.404,12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1.220,20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138,30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1.358,49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-  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   -  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-  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  -  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8.729,30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 xml:space="preserve">          343.982,08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361.181,18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</w:t>
            </w:r>
          </w:p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17.199,10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8.729,30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989,37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9.718,66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2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9.666,54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380.914,76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399.960,50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</w:t>
            </w:r>
          </w:p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19.045,74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9.666,54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1095,59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10.762,14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3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1.766,34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69.603,60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73.083,78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3.480,18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1.766,34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200,19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1.966,54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1.884,74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74.268,93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77.982,38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3.713,45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1.884,74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213,61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2.098,35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5.086,00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200.416,36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210.437,18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</w:t>
            </w:r>
          </w:p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10.020,82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5.086,00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576,44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5.662,44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2.475,31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97.540,80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102.417,84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4.877,04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2.475,31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280,55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2.755,86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2.719,15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107.149,38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112.506,85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5.357,47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2.719,15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308,18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3.027,33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</w:p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 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 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   -  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-  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  -  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 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      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1.495,55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147.332,23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150.278,87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2.946,64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1.495,55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169,50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1.665,05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2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1.083,02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106.692,75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108.826,61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2.133,86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1.083,02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122,75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1.205,77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3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1.118,66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110.203,34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112.407,41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2.204,07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1.118,66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126,79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1.245,45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Unidade 4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1.118,66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110.203,34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112.407,41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2.204,07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1.118,66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126,79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1.245,45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660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Unidade 5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1.083,02 </w:t>
            </w:r>
          </w:p>
        </w:tc>
        <w:tc>
          <w:tcPr>
            <w:tcW w:w="1336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106.692,75 </w:t>
            </w:r>
          </w:p>
        </w:tc>
        <w:tc>
          <w:tcPr>
            <w:tcW w:w="1259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108.826,61 </w:t>
            </w:r>
          </w:p>
        </w:tc>
        <w:tc>
          <w:tcPr>
            <w:tcW w:w="1281" w:type="dxa"/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2.133,86 </w:t>
            </w:r>
          </w:p>
        </w:tc>
        <w:tc>
          <w:tcPr>
            <w:tcW w:w="1149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   1.083,02 </w:t>
            </w:r>
          </w:p>
        </w:tc>
        <w:tc>
          <w:tcPr>
            <w:tcW w:w="124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>122,75</w:t>
            </w:r>
          </w:p>
        </w:tc>
        <w:tc>
          <w:tcPr>
            <w:tcW w:w="1128" w:type="dxa"/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right"/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pt-BR"/>
              </w:rPr>
              <w:t xml:space="preserve">       1.205,77 </w:t>
            </w:r>
          </w:p>
        </w:tc>
      </w:tr>
    </w:tbl>
    <w:p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</w:p>
    <w:p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b/>
          <w:sz w:val="24"/>
          <w:szCs w:val="24"/>
          <w:u w:val="single"/>
        </w:rPr>
      </w:pPr>
    </w:p>
    <w:p>
      <w:pPr>
        <w:spacing w:after="0" w:line="23" w:lineRule="atLeast"/>
        <w:jc w:val="both"/>
        <w:rPr>
          <w:rFonts w:ascii="Arial" w:hAnsi="Arial" w:eastAsia="Calibri" w:cs="Arial"/>
          <w:sz w:val="24"/>
          <w:szCs w:val="24"/>
          <w:lang w:eastAsia="zh-CN"/>
        </w:rPr>
      </w:pPr>
      <w:r>
        <w:rPr>
          <w:rFonts w:ascii="Arial" w:hAnsi="Arial" w:eastAsia="Calibri" w:cs="Arial"/>
          <w:b/>
          <w:sz w:val="24"/>
          <w:szCs w:val="24"/>
          <w:lang w:eastAsia="zh-CN"/>
        </w:rPr>
        <w:t xml:space="preserve">OBS 1: </w:t>
      </w:r>
      <w:r>
        <w:rPr>
          <w:rFonts w:ascii="Arial" w:hAnsi="Arial" w:eastAsia="Calibri" w:cs="Arial"/>
          <w:sz w:val="24"/>
          <w:szCs w:val="24"/>
          <w:lang w:eastAsia="zh-CN"/>
        </w:rPr>
        <w:t>A teor do artigo 130, do Código Tributário Municipal, o valor da contribuição de melhoria é apurado pela valorização dos imóveis beneficiados, levando em consideração a situação do imóvel na zona de influência;</w:t>
      </w:r>
    </w:p>
    <w:p>
      <w:pPr>
        <w:spacing w:after="0" w:line="23" w:lineRule="atLeast"/>
        <w:jc w:val="both"/>
        <w:rPr>
          <w:rFonts w:ascii="Arial" w:hAnsi="Arial" w:eastAsia="Calibri" w:cs="Arial"/>
          <w:b/>
          <w:bCs/>
          <w:sz w:val="24"/>
          <w:szCs w:val="24"/>
          <w:lang w:eastAsia="zh-CN"/>
        </w:rPr>
      </w:pPr>
      <w:r>
        <w:rPr>
          <w:rFonts w:ascii="Arial" w:hAnsi="Arial" w:eastAsia="Calibri" w:cs="Arial"/>
          <w:b/>
          <w:bCs/>
          <w:sz w:val="24"/>
          <w:szCs w:val="24"/>
          <w:lang w:eastAsia="zh-CN"/>
        </w:rPr>
        <w:t xml:space="preserve">OBS 2 *: </w:t>
      </w:r>
      <w:r>
        <w:rPr>
          <w:rFonts w:ascii="Arial" w:hAnsi="Arial" w:eastAsia="Calibri"/>
          <w:b/>
          <w:bCs/>
          <w:sz w:val="24"/>
          <w:szCs w:val="24"/>
          <w:lang w:eastAsia="zh-CN"/>
        </w:rPr>
        <w:t>Considerando, que o imóvel lote 10 da quadra 11 (unidades 1 a 5), beneficiado pela obra, está na zona de influência da obra nas Ruas Jussara e Tapuias, sua valorização imobiliária foi considerada em cada uma das ruas e o lançamento tributário da Contribuição de Melhoria será unificado, no valor total da soma do valor correspondente em cada uma das Ruas beneficiadas pela obra e por unidade imobiliária.</w:t>
      </w:r>
    </w:p>
    <w:p>
      <w:pPr>
        <w:spacing w:after="0" w:line="23" w:lineRule="atLeast"/>
        <w:jc w:val="both"/>
        <w:rPr>
          <w:rFonts w:ascii="Arial" w:hAnsi="Arial" w:eastAsia="Calibri" w:cs="Arial"/>
          <w:b/>
          <w:bCs/>
          <w:sz w:val="24"/>
          <w:szCs w:val="24"/>
          <w:lang w:eastAsia="zh-CN"/>
        </w:rPr>
      </w:pP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Do prazo de vencimento:</w:t>
      </w:r>
      <w:r>
        <w:rPr>
          <w:rFonts w:ascii="Arial" w:hAnsi="Arial" w:cs="Arial"/>
          <w:sz w:val="24"/>
          <w:szCs w:val="24"/>
        </w:rPr>
        <w:t xml:space="preserve"> O vencimento (prazo para pagamento da Contribuição de Melhoria) </w:t>
      </w:r>
      <w:r>
        <w:rPr>
          <w:rFonts w:ascii="Arial" w:hAnsi="Arial" w:cs="Arial"/>
          <w:b/>
          <w:sz w:val="24"/>
          <w:szCs w:val="24"/>
          <w:u w:val="single"/>
        </w:rPr>
        <w:t xml:space="preserve">será 10/12/2023. </w:t>
      </w: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  <w:u w:val="single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6. </w:t>
      </w:r>
      <w:r>
        <w:rPr>
          <w:rFonts w:ascii="Arial" w:hAnsi="Arial" w:cs="Arial"/>
          <w:b/>
          <w:sz w:val="24"/>
          <w:szCs w:val="24"/>
          <w:u w:val="single"/>
        </w:rPr>
        <w:t>Da forma de pagamento</w:t>
      </w:r>
      <w:r>
        <w:rPr>
          <w:rFonts w:ascii="Arial" w:hAnsi="Arial" w:cs="Arial"/>
          <w:sz w:val="24"/>
          <w:szCs w:val="24"/>
        </w:rPr>
        <w:t>: Em conformidade com o art. 9</w:t>
      </w:r>
      <w:r>
        <w:rPr>
          <w:rFonts w:ascii="Arial" w:hAnsi="Arial" w:cs="Arial"/>
          <w:sz w:val="28"/>
          <w:szCs w:val="28"/>
        </w:rPr>
        <w:t>º</w:t>
      </w:r>
      <w:r>
        <w:rPr>
          <w:rFonts w:ascii="Arial" w:hAnsi="Arial" w:cs="Arial"/>
          <w:sz w:val="24"/>
          <w:szCs w:val="24"/>
        </w:rPr>
        <w:t xml:space="preserve"> da Lei Municipal nº.  2.693/2020 e da Lei Complementar Municipal nº 01/2014 (Código Tributário Municipal), art. 136, o pagamento da contribuição de melhoria da obra de pavimentação asfáltica que trata este Edital, poderá ser efetuado mediante: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I- Em até 24 (vinte e quatro) parcelas mensais, iguais e consecutivas, mediante o pagamento de 10% (dez por cento) do valor total de entrada e observando-se a parcela mínima de 50 URM (unidade de referência municipal), ou</w:t>
      </w: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II- Pagamento do valor total de uma só vez na data de vencimento da primeira prestação, hipótese em que será concedido desconto de 10% (dez por cento).</w:t>
      </w: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 hipótese do inciso II, o valor de cada parcela será corrigido anualmente no mês de janeiro nos mesmos índices utilizados para a correção dos débitos tributários.</w:t>
      </w: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Do local de pagamento;</w:t>
      </w:r>
      <w:r>
        <w:rPr>
          <w:rFonts w:ascii="Arial" w:hAnsi="Arial" w:cs="Arial"/>
          <w:sz w:val="24"/>
          <w:szCs w:val="24"/>
        </w:rPr>
        <w:t xml:space="preserve"> O pagamento deverá ser efetuado na rede bancária das Agências Conveniadas, mediante prévio comparecimento do contribuinte no setor de Tributação para a adesão à opção de pagamento e emissão das guias.</w:t>
      </w: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8. </w:t>
      </w:r>
      <w:r>
        <w:rPr>
          <w:rFonts w:ascii="Arial" w:hAnsi="Arial" w:cs="Arial"/>
          <w:b/>
          <w:sz w:val="24"/>
          <w:szCs w:val="24"/>
          <w:u w:val="single"/>
        </w:rPr>
        <w:t>Do prazo e forma de impugnação e ou recurso administrativo</w:t>
      </w:r>
      <w:r>
        <w:rPr>
          <w:rFonts w:ascii="Arial" w:hAnsi="Arial" w:cs="Arial"/>
          <w:sz w:val="24"/>
          <w:szCs w:val="24"/>
          <w:u w:val="single"/>
        </w:rPr>
        <w:t xml:space="preserve">: </w:t>
      </w:r>
      <w:r>
        <w:rPr>
          <w:rFonts w:ascii="Arial" w:hAnsi="Arial" w:cs="Arial"/>
          <w:sz w:val="24"/>
          <w:szCs w:val="24"/>
        </w:rPr>
        <w:t>O contribuinte poderá impugnar o lançamento da contribuição de melhoria, na forma que autoriza a Lei Complementar Municipal 01/2014 (Código Tributário Municipal), art. 11 das Lei Municipal nº. 2.693/2020, no prazo de até 30 dias, contados da publicação deste Edital, mediante petição escrita, dirigida à autoridade fazendaria, e protocolada na sede da Prefeitura Municipal, na qual deverá especificar as razões do inconformismo, ocasião em que deverá juntar os documentos necessários à comprovação do fato impugnado.</w:t>
      </w:r>
    </w:p>
    <w:p>
      <w:pPr>
        <w:spacing w:after="0" w:line="23" w:lineRule="atLeast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9. </w:t>
      </w:r>
      <w:r>
        <w:rPr>
          <w:rFonts w:ascii="Arial" w:hAnsi="Arial" w:cs="Arial"/>
          <w:b/>
          <w:sz w:val="24"/>
          <w:szCs w:val="24"/>
          <w:u w:val="single"/>
        </w:rPr>
        <w:t>Das isenções do pagamento da Contribuição de Melhoria:</w:t>
      </w:r>
      <w:r>
        <w:rPr>
          <w:rFonts w:ascii="Arial" w:hAnsi="Arial" w:cs="Arial"/>
          <w:sz w:val="24"/>
          <w:szCs w:val="24"/>
        </w:rPr>
        <w:t xml:space="preserve"> Na forma dos arts. 12 da Lei Municipal nº. 2.693/2020 e art. 137, do Código Tributário Municipal ficam isentos do pagamento da Contribuição de Melhoria, descrita, neste Edital: </w:t>
      </w:r>
    </w:p>
    <w:p>
      <w:pPr>
        <w:spacing w:after="0" w:line="23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 -</w:t>
      </w:r>
      <w:r>
        <w:rPr>
          <w:rStyle w:val="19"/>
          <w:rFonts w:ascii="Arial" w:hAnsi="Arial" w:cs="Arial"/>
          <w:color w:val="000000"/>
          <w:sz w:val="24"/>
          <w:szCs w:val="24"/>
        </w:rPr>
        <w:t> </w:t>
      </w:r>
      <w:r>
        <w:rPr>
          <w:rFonts w:ascii="Arial" w:hAnsi="Arial" w:cs="Arial"/>
          <w:color w:val="000000"/>
          <w:sz w:val="24"/>
          <w:szCs w:val="24"/>
        </w:rPr>
        <w:t>em relação aos imóveis cujos titulares sejam a União, o Estado ou outros Municípios, bem como as suas autarquias e fundações, exceto aqueles prometidos á venda e os submetidos a regime de enfiteuse ou aforamento.</w:t>
      </w:r>
    </w:p>
    <w:p>
      <w:pPr>
        <w:spacing w:after="0" w:line="23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II -</w:t>
      </w:r>
      <w:r>
        <w:rPr>
          <w:rStyle w:val="19"/>
          <w:rFonts w:ascii="Arial" w:hAnsi="Arial" w:cs="Arial"/>
          <w:color w:val="000000"/>
          <w:sz w:val="24"/>
          <w:szCs w:val="24"/>
        </w:rPr>
        <w:t> </w:t>
      </w:r>
      <w:r>
        <w:rPr>
          <w:rFonts w:ascii="Arial" w:hAnsi="Arial" w:cs="Arial"/>
          <w:color w:val="000000"/>
          <w:sz w:val="24"/>
          <w:szCs w:val="24"/>
        </w:rPr>
        <w:t>as instituições de educação, assistência social e de prestação de serviços hospitalares, sem fins lucrativos.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ind w:right="-81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ind w:right="-8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Ficam os proprietários dos imóveis descritos no quadro de que trata o inciso 4, deste edital, NOTIFICADOS do prazo de 30 (trinta) dias para impugnar, junto a Administração Municipal, mediante requerimento devidamente motivado das razões da impugnação e documentos probatórios, quanto a qualquer dos elementos constantes do presente Edital.</w:t>
      </w:r>
    </w:p>
    <w:p>
      <w:pPr>
        <w:autoSpaceDE w:val="0"/>
        <w:autoSpaceDN w:val="0"/>
        <w:adjustRightInd w:val="0"/>
        <w:spacing w:after="0" w:line="23" w:lineRule="atLeast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23" w:lineRule="atLeast"/>
        <w:rPr>
          <w:rFonts w:ascii="Arial" w:hAnsi="Arial" w:cs="Arial"/>
          <w:sz w:val="24"/>
          <w:szCs w:val="24"/>
        </w:rPr>
      </w:pPr>
    </w:p>
    <w:p>
      <w:pPr>
        <w:autoSpaceDE w:val="0"/>
        <w:autoSpaceDN w:val="0"/>
        <w:adjustRightInd w:val="0"/>
        <w:spacing w:after="0" w:line="23" w:lineRule="atLeast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Tenente Portela, 06 de novembro de 2023.</w:t>
      </w:r>
    </w:p>
    <w:p>
      <w:pPr>
        <w:spacing w:after="0" w:line="23" w:lineRule="atLeast"/>
        <w:jc w:val="right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right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right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right"/>
        <w:rPr>
          <w:rFonts w:ascii="Arial" w:hAnsi="Arial" w:cs="Arial"/>
          <w:b/>
          <w:sz w:val="24"/>
          <w:szCs w:val="24"/>
        </w:rPr>
      </w:pPr>
    </w:p>
    <w:p>
      <w:pPr>
        <w:spacing w:after="0" w:line="23" w:lineRule="atLeast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</w:t>
      </w:r>
      <w:r>
        <w:rPr>
          <w:rFonts w:hint="default" w:ascii="Arial" w:hAnsi="Arial" w:cs="Arial"/>
          <w:b/>
          <w:sz w:val="24"/>
          <w:szCs w:val="24"/>
          <w:lang w:val="pt-BR"/>
        </w:rPr>
        <w:t>O</w:t>
      </w:r>
      <w:r>
        <w:rPr>
          <w:rFonts w:ascii="Arial" w:hAnsi="Arial" w:cs="Arial"/>
          <w:b/>
          <w:sz w:val="24"/>
          <w:szCs w:val="24"/>
        </w:rPr>
        <w:t>NIO SALA,</w:t>
      </w:r>
    </w:p>
    <w:p>
      <w:pPr>
        <w:spacing w:after="0" w:line="23" w:lineRule="atLeast"/>
        <w:jc w:val="right"/>
        <w:rPr>
          <w:rFonts w:hint="default" w:ascii="Arial" w:hAnsi="Arial" w:cs="Arial"/>
          <w:b w:val="0"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Arial" w:hAnsi="Arial" w:cs="Arial"/>
          <w:b w:val="0"/>
          <w:bCs/>
          <w:sz w:val="24"/>
          <w:szCs w:val="24"/>
        </w:rPr>
        <w:t>Prefeito de Tenente Portela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>/RS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Publique-se: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06 de novembro de 2023.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3" w:lineRule="atLeast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PAULO JOSSELINO FARIAS</w:t>
      </w:r>
    </w:p>
    <w:p>
      <w:pPr>
        <w:spacing w:after="0" w:line="23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Sec. Municipal de Administração, Planejamento e Comunicação Social</w:t>
      </w:r>
    </w:p>
    <w:sectPr>
      <w:headerReference r:id="rId5" w:type="default"/>
      <w:footerReference r:id="rId6" w:type="default"/>
      <w:pgSz w:w="11906" w:h="16838"/>
      <w:pgMar w:top="1440" w:right="1100" w:bottom="1440" w:left="11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lang w:eastAsia="pt-BR"/>
      </w:rPr>
      <w:drawing>
        <wp:inline distT="0" distB="0" distL="114300" distR="114300">
          <wp:extent cx="6181725" cy="529590"/>
          <wp:effectExtent l="0" t="0" r="9525" b="3810"/>
          <wp:docPr id="7" name="Imagem 7" descr="rodapé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rodapé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52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eastAsia="pt-BR"/>
      </w:rPr>
      <w:drawing>
        <wp:inline distT="0" distB="0" distL="114300" distR="114300">
          <wp:extent cx="6181725" cy="1123950"/>
          <wp:effectExtent l="0" t="0" r="9525" b="0"/>
          <wp:docPr id="4" name="Imagem 4" descr="CABEÇALHO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CABEÇALHO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1123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FA2CA6"/>
    <w:multiLevelType w:val="multilevel"/>
    <w:tmpl w:val="98FA2CA6"/>
    <w:lvl w:ilvl="0" w:tentative="0">
      <w:start w:val="2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708"/>
  <w:hyphenationZone w:val="425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886"/>
    <w:rsid w:val="00017D91"/>
    <w:rsid w:val="0005795C"/>
    <w:rsid w:val="00066C4E"/>
    <w:rsid w:val="00071C01"/>
    <w:rsid w:val="00072669"/>
    <w:rsid w:val="00073139"/>
    <w:rsid w:val="000A7BB5"/>
    <w:rsid w:val="000D06B5"/>
    <w:rsid w:val="000E011F"/>
    <w:rsid w:val="00110981"/>
    <w:rsid w:val="001131B0"/>
    <w:rsid w:val="00123757"/>
    <w:rsid w:val="00143E6B"/>
    <w:rsid w:val="00190DDC"/>
    <w:rsid w:val="0019245B"/>
    <w:rsid w:val="001B4154"/>
    <w:rsid w:val="001C2EDE"/>
    <w:rsid w:val="001D09FB"/>
    <w:rsid w:val="002126AF"/>
    <w:rsid w:val="00231D2C"/>
    <w:rsid w:val="002334E8"/>
    <w:rsid w:val="002653F6"/>
    <w:rsid w:val="00270CB0"/>
    <w:rsid w:val="002826DD"/>
    <w:rsid w:val="003438C9"/>
    <w:rsid w:val="00362230"/>
    <w:rsid w:val="003660CD"/>
    <w:rsid w:val="00395896"/>
    <w:rsid w:val="003A0D14"/>
    <w:rsid w:val="0043504B"/>
    <w:rsid w:val="0044072A"/>
    <w:rsid w:val="00490772"/>
    <w:rsid w:val="004C6F51"/>
    <w:rsid w:val="004D1718"/>
    <w:rsid w:val="004D2C18"/>
    <w:rsid w:val="005067C7"/>
    <w:rsid w:val="00514B1B"/>
    <w:rsid w:val="00531D59"/>
    <w:rsid w:val="005462BC"/>
    <w:rsid w:val="00561CA4"/>
    <w:rsid w:val="00567189"/>
    <w:rsid w:val="005A0E08"/>
    <w:rsid w:val="005A70B1"/>
    <w:rsid w:val="005D75A1"/>
    <w:rsid w:val="005E3920"/>
    <w:rsid w:val="00616DDB"/>
    <w:rsid w:val="00622732"/>
    <w:rsid w:val="0063330E"/>
    <w:rsid w:val="00647265"/>
    <w:rsid w:val="00676AAA"/>
    <w:rsid w:val="006D7920"/>
    <w:rsid w:val="0070231C"/>
    <w:rsid w:val="007459E4"/>
    <w:rsid w:val="00745E16"/>
    <w:rsid w:val="00772AA7"/>
    <w:rsid w:val="00772AFD"/>
    <w:rsid w:val="007A4F41"/>
    <w:rsid w:val="007A64D4"/>
    <w:rsid w:val="007B4221"/>
    <w:rsid w:val="008076E0"/>
    <w:rsid w:val="008166A4"/>
    <w:rsid w:val="0081745A"/>
    <w:rsid w:val="00827364"/>
    <w:rsid w:val="00875BE4"/>
    <w:rsid w:val="008C2F32"/>
    <w:rsid w:val="008C4D75"/>
    <w:rsid w:val="008F1259"/>
    <w:rsid w:val="008F215E"/>
    <w:rsid w:val="00900A49"/>
    <w:rsid w:val="00932330"/>
    <w:rsid w:val="00936516"/>
    <w:rsid w:val="00944E02"/>
    <w:rsid w:val="00975D3E"/>
    <w:rsid w:val="009D59D4"/>
    <w:rsid w:val="009F2446"/>
    <w:rsid w:val="009F5F3D"/>
    <w:rsid w:val="00A36F74"/>
    <w:rsid w:val="00A37108"/>
    <w:rsid w:val="00A47255"/>
    <w:rsid w:val="00A63B41"/>
    <w:rsid w:val="00A7219F"/>
    <w:rsid w:val="00AA1760"/>
    <w:rsid w:val="00B27D61"/>
    <w:rsid w:val="00B300E8"/>
    <w:rsid w:val="00B62B83"/>
    <w:rsid w:val="00B92886"/>
    <w:rsid w:val="00BC664F"/>
    <w:rsid w:val="00BD254A"/>
    <w:rsid w:val="00BF0AC5"/>
    <w:rsid w:val="00C0729D"/>
    <w:rsid w:val="00C23E0A"/>
    <w:rsid w:val="00C23EB5"/>
    <w:rsid w:val="00C33F23"/>
    <w:rsid w:val="00C64E28"/>
    <w:rsid w:val="00CE5137"/>
    <w:rsid w:val="00CF1A89"/>
    <w:rsid w:val="00D40132"/>
    <w:rsid w:val="00D61DE6"/>
    <w:rsid w:val="00D64DC1"/>
    <w:rsid w:val="00D74A30"/>
    <w:rsid w:val="00D94A8E"/>
    <w:rsid w:val="00DC3088"/>
    <w:rsid w:val="00DE407C"/>
    <w:rsid w:val="00DE4689"/>
    <w:rsid w:val="00E036B0"/>
    <w:rsid w:val="00E5489B"/>
    <w:rsid w:val="00E66299"/>
    <w:rsid w:val="00E97467"/>
    <w:rsid w:val="00EA4B5B"/>
    <w:rsid w:val="00F165ED"/>
    <w:rsid w:val="00FD209C"/>
    <w:rsid w:val="020B406E"/>
    <w:rsid w:val="05491403"/>
    <w:rsid w:val="054C2F2B"/>
    <w:rsid w:val="089534DD"/>
    <w:rsid w:val="091B157F"/>
    <w:rsid w:val="0A6D18E6"/>
    <w:rsid w:val="0B9F1F27"/>
    <w:rsid w:val="0C5A5D48"/>
    <w:rsid w:val="0D92714F"/>
    <w:rsid w:val="0E002BB8"/>
    <w:rsid w:val="0EBE66C8"/>
    <w:rsid w:val="10C2280A"/>
    <w:rsid w:val="14D70811"/>
    <w:rsid w:val="17964EB2"/>
    <w:rsid w:val="185D2A7F"/>
    <w:rsid w:val="1B8865FD"/>
    <w:rsid w:val="1C7960CF"/>
    <w:rsid w:val="1DDE61DA"/>
    <w:rsid w:val="1EB74723"/>
    <w:rsid w:val="250869D2"/>
    <w:rsid w:val="263A4322"/>
    <w:rsid w:val="2BBC6FEB"/>
    <w:rsid w:val="2EF37D5C"/>
    <w:rsid w:val="3019399F"/>
    <w:rsid w:val="30914531"/>
    <w:rsid w:val="37D6437A"/>
    <w:rsid w:val="397C1C8D"/>
    <w:rsid w:val="3AE917D3"/>
    <w:rsid w:val="3D550FA9"/>
    <w:rsid w:val="3DC34928"/>
    <w:rsid w:val="3E741203"/>
    <w:rsid w:val="40A7413A"/>
    <w:rsid w:val="43F20826"/>
    <w:rsid w:val="46312ED3"/>
    <w:rsid w:val="471F2B30"/>
    <w:rsid w:val="481700D5"/>
    <w:rsid w:val="49A8601C"/>
    <w:rsid w:val="4A0B01F8"/>
    <w:rsid w:val="4A1732C1"/>
    <w:rsid w:val="50933D6D"/>
    <w:rsid w:val="524C4ED3"/>
    <w:rsid w:val="52C74B5B"/>
    <w:rsid w:val="54360376"/>
    <w:rsid w:val="553629ED"/>
    <w:rsid w:val="5ACD2ECD"/>
    <w:rsid w:val="5CBB1A2A"/>
    <w:rsid w:val="5D2826D9"/>
    <w:rsid w:val="5DD01295"/>
    <w:rsid w:val="62D4685E"/>
    <w:rsid w:val="63452374"/>
    <w:rsid w:val="6438791B"/>
    <w:rsid w:val="658C13BF"/>
    <w:rsid w:val="659F7D1B"/>
    <w:rsid w:val="65A2440A"/>
    <w:rsid w:val="6E384DCF"/>
    <w:rsid w:val="6F5C718B"/>
    <w:rsid w:val="6FBE50AF"/>
    <w:rsid w:val="70A90122"/>
    <w:rsid w:val="719C3FDB"/>
    <w:rsid w:val="71E22930"/>
    <w:rsid w:val="72264B70"/>
    <w:rsid w:val="72A73527"/>
    <w:rsid w:val="76446418"/>
    <w:rsid w:val="7B384722"/>
    <w:rsid w:val="7BAF7398"/>
    <w:rsid w:val="7F88716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qFormat="1"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sz w:val="36"/>
      <w:szCs w:val="36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styleId="6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7">
    <w:name w:val="Body Text 3"/>
    <w:basedOn w:val="1"/>
    <w:semiHidden/>
    <w:unhideWhenUsed/>
    <w:qFormat/>
    <w:uiPriority w:val="99"/>
    <w:pPr>
      <w:spacing w:after="120"/>
    </w:pPr>
    <w:rPr>
      <w:sz w:val="16"/>
      <w:szCs w:val="16"/>
    </w:rPr>
  </w:style>
  <w:style w:type="paragraph" w:styleId="8">
    <w:name w:val="Body Text 2"/>
    <w:basedOn w:val="1"/>
    <w:semiHidden/>
    <w:unhideWhenUsed/>
    <w:qFormat/>
    <w:uiPriority w:val="99"/>
    <w:pPr>
      <w:spacing w:after="120" w:line="480" w:lineRule="auto"/>
    </w:pPr>
  </w:style>
  <w:style w:type="paragraph" w:styleId="9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12">
    <w:name w:val="Table Grid"/>
    <w:basedOn w:val="4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Cabeçalho Char"/>
    <w:basedOn w:val="3"/>
    <w:link w:val="9"/>
    <w:qFormat/>
    <w:uiPriority w:val="99"/>
  </w:style>
  <w:style w:type="character" w:customStyle="1" w:styleId="14">
    <w:name w:val="Rodapé Char"/>
    <w:basedOn w:val="3"/>
    <w:link w:val="10"/>
    <w:qFormat/>
    <w:uiPriority w:val="99"/>
  </w:style>
  <w:style w:type="paragraph" w:customStyle="1" w:styleId="15">
    <w:name w:val="Default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styleId="16">
    <w:name w:val="No Spacing"/>
    <w:basedOn w:val="1"/>
    <w:qFormat/>
    <w:uiPriority w:val="1"/>
    <w:rPr>
      <w:rFonts w:ascii="Calibri" w:hAnsi="Calibri"/>
      <w:sz w:val="20"/>
      <w:szCs w:val="20"/>
      <w:lang w:val="en-US" w:bidi="en-US"/>
    </w:rPr>
  </w:style>
  <w:style w:type="character" w:customStyle="1" w:styleId="17">
    <w:name w:val="Texto de balão Char"/>
    <w:basedOn w:val="3"/>
    <w:link w:val="11"/>
    <w:semiHidden/>
    <w:qFormat/>
    <w:uiPriority w:val="99"/>
    <w:rPr>
      <w:rFonts w:ascii="Tahoma" w:hAnsi="Tahoma" w:cs="Tahoma" w:eastAsiaTheme="minorHAnsi"/>
      <w:sz w:val="16"/>
      <w:szCs w:val="16"/>
      <w:lang w:eastAsia="en-US"/>
    </w:rPr>
  </w:style>
  <w:style w:type="paragraph" w:styleId="18">
    <w:name w:val="List Paragraph"/>
    <w:basedOn w:val="1"/>
    <w:qFormat/>
    <w:uiPriority w:val="0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9">
    <w:name w:val="apple-converted-space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2027</Words>
  <Characters>10952</Characters>
  <Lines>91</Lines>
  <Paragraphs>25</Paragraphs>
  <TotalTime>40</TotalTime>
  <ScaleCrop>false</ScaleCrop>
  <LinksUpToDate>false</LinksUpToDate>
  <CharactersWithSpaces>12954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2023-02-16T12:04:00Z</dcterms:created>
  <dc:creator>PAULO FARIAS</dc:creator>
  <cp:lastModifiedBy>apoio-adm03</cp:lastModifiedBy>
  <cp:lastPrinted>2023-11-06T18:04:00Z</cp:lastPrinted>
  <dcterms:modified xsi:type="dcterms:W3CDTF">2023-11-07T19:59:36Z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1046-12.2.0.13306</vt:lpwstr>
  </property>
  <property fmtid="{D5CDD505-2E9C-101B-9397-08002B2CF9AE}" pid="3" name="ICV">
    <vt:lpwstr>B47F48EC46934873AC08F93442AAA800_13</vt:lpwstr>
  </property>
</Properties>
</file>