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bidi w:val="0"/>
        <w:snapToGrid/>
        <w:spacing w:after="0" w:line="240" w:lineRule="auto"/>
        <w:jc w:val="center"/>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center"/>
        <w:textAlignment w:val="auto"/>
        <w:rPr>
          <w:rFonts w:hint="default" w:ascii="Arial" w:hAnsi="Arial" w:cs="Arial"/>
          <w:b/>
          <w:sz w:val="24"/>
          <w:szCs w:val="24"/>
          <w:highlight w:val="none"/>
          <w:lang w:val="pt-BR"/>
        </w:rPr>
      </w:pPr>
      <w:r>
        <w:rPr>
          <w:rFonts w:hint="default" w:ascii="Arial" w:hAnsi="Arial" w:cs="Arial"/>
          <w:b/>
          <w:sz w:val="24"/>
          <w:szCs w:val="24"/>
        </w:rPr>
        <w:t>PROCEDIMENTO TRIBUTÁRIO DE CONTRIBUIÇÃO DE MELHORIA</w:t>
      </w:r>
      <w:r>
        <w:rPr>
          <w:rFonts w:hint="default" w:ascii="Arial" w:hAnsi="Arial" w:cs="Arial"/>
          <w:b/>
          <w:sz w:val="24"/>
          <w:szCs w:val="24"/>
          <w:highlight w:val="none"/>
        </w:rPr>
        <w:t xml:space="preserve"> Nº 00</w:t>
      </w:r>
      <w:r>
        <w:rPr>
          <w:rFonts w:hint="default" w:ascii="Arial" w:hAnsi="Arial" w:cs="Arial"/>
          <w:b/>
          <w:sz w:val="24"/>
          <w:szCs w:val="24"/>
          <w:highlight w:val="none"/>
          <w:lang w:val="pt-BR"/>
        </w:rPr>
        <w:t>1</w:t>
      </w:r>
      <w:r>
        <w:rPr>
          <w:rFonts w:hint="default" w:ascii="Arial" w:hAnsi="Arial" w:cs="Arial"/>
          <w:b/>
          <w:sz w:val="24"/>
          <w:szCs w:val="24"/>
          <w:highlight w:val="none"/>
        </w:rPr>
        <w:t>/20</w:t>
      </w:r>
      <w:r>
        <w:rPr>
          <w:rFonts w:hint="default" w:ascii="Arial" w:hAnsi="Arial" w:cs="Arial"/>
          <w:b/>
          <w:sz w:val="24"/>
          <w:szCs w:val="24"/>
          <w:highlight w:val="none"/>
          <w:lang w:val="pt-BR"/>
        </w:rPr>
        <w:t>19</w:t>
      </w:r>
    </w:p>
    <w:p>
      <w:pPr>
        <w:keepNext w:val="0"/>
        <w:keepLines w:val="0"/>
        <w:pageBreakBefore w:val="0"/>
        <w:widowControl/>
        <w:kinsoku/>
        <w:wordWrap/>
        <w:overflowPunct/>
        <w:topLinePunct w:val="0"/>
        <w:bidi w:val="0"/>
        <w:snapToGrid/>
        <w:spacing w:after="0" w:line="240" w:lineRule="auto"/>
        <w:jc w:val="center"/>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center"/>
        <w:textAlignment w:val="auto"/>
        <w:rPr>
          <w:rFonts w:hint="default" w:ascii="Arial" w:hAnsi="Arial" w:cs="Arial"/>
          <w:b/>
          <w:sz w:val="24"/>
          <w:szCs w:val="24"/>
          <w:lang w:val="pt-BR"/>
        </w:rPr>
      </w:pPr>
      <w:r>
        <w:rPr>
          <w:rFonts w:hint="default" w:ascii="Arial" w:hAnsi="Arial" w:cs="Arial"/>
          <w:b/>
          <w:sz w:val="24"/>
          <w:szCs w:val="24"/>
        </w:rPr>
        <w:t>EDITAL Nº 00</w:t>
      </w:r>
      <w:r>
        <w:rPr>
          <w:rFonts w:hint="default" w:ascii="Arial" w:hAnsi="Arial" w:cs="Arial"/>
          <w:b/>
          <w:sz w:val="24"/>
          <w:szCs w:val="24"/>
          <w:lang w:val="pt-BR"/>
        </w:rPr>
        <w:t>2/2023</w:t>
      </w:r>
      <w:r>
        <w:rPr>
          <w:rFonts w:hint="default" w:ascii="Arial" w:hAnsi="Arial" w:cs="Arial"/>
          <w:b/>
          <w:sz w:val="24"/>
          <w:szCs w:val="24"/>
        </w:rPr>
        <w:t xml:space="preserve"> - </w:t>
      </w:r>
      <w:r>
        <w:rPr>
          <w:rFonts w:hint="default" w:ascii="Arial" w:hAnsi="Arial" w:cs="Arial"/>
          <w:b/>
          <w:sz w:val="24"/>
          <w:szCs w:val="24"/>
          <w:lang w:val="pt-BR"/>
        </w:rPr>
        <w:t>RETIFICAÇÃO DO EDITAL Nº 001/2019 - EXECUÇÃO DE OBRA DE PAVIMENTAÇÃO ASFÁLTICA</w:t>
      </w:r>
    </w:p>
    <w:p>
      <w:pPr>
        <w:keepNext w:val="0"/>
        <w:keepLines w:val="0"/>
        <w:pageBreakBefore w:val="0"/>
        <w:widowControl/>
        <w:kinsoku/>
        <w:wordWrap/>
        <w:overflowPunct/>
        <w:topLinePunct w:val="0"/>
        <w:bidi w:val="0"/>
        <w:snapToGrid/>
        <w:spacing w:after="0" w:line="240" w:lineRule="auto"/>
        <w:ind w:left="5103" w:hanging="5103"/>
        <w:jc w:val="center"/>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ind w:left="5103" w:hanging="5103"/>
        <w:jc w:val="center"/>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b/>
          <w:sz w:val="24"/>
          <w:szCs w:val="24"/>
          <w:lang w:val="pt-BR"/>
        </w:rPr>
      </w:pPr>
      <w:r>
        <w:rPr>
          <w:rFonts w:hint="default" w:ascii="Arial" w:hAnsi="Arial" w:cs="Arial"/>
          <w:b/>
          <w:sz w:val="24"/>
          <w:szCs w:val="24"/>
        </w:rPr>
        <w:t>EDITAL DE RETIFICAÇÃO DO EDITAL DE CONTRIBUIÇÃO DE MELHORIA Nº 00</w:t>
      </w:r>
      <w:r>
        <w:rPr>
          <w:rFonts w:hint="default" w:ascii="Arial" w:hAnsi="Arial" w:cs="Arial"/>
          <w:b/>
          <w:sz w:val="24"/>
          <w:szCs w:val="24"/>
          <w:lang w:val="pt-BR"/>
        </w:rPr>
        <w:t>1</w:t>
      </w:r>
      <w:r>
        <w:rPr>
          <w:rFonts w:hint="default" w:ascii="Arial" w:hAnsi="Arial" w:cs="Arial"/>
          <w:b/>
          <w:sz w:val="24"/>
          <w:szCs w:val="24"/>
        </w:rPr>
        <w:t>/201</w:t>
      </w:r>
      <w:r>
        <w:rPr>
          <w:rFonts w:hint="default" w:ascii="Arial" w:hAnsi="Arial" w:cs="Arial"/>
          <w:b/>
          <w:sz w:val="24"/>
          <w:szCs w:val="24"/>
          <w:lang w:val="pt-BR"/>
        </w:rPr>
        <w:t>9, DESCRIÇÕES DOS ITENS 03 E 04, ALTERAÇÃO DO QUADRO DO ITEM 5, ESPECIFICAMENTE QUADRO DA RUA TUPIS, E REVOGAÇÃO DO ANEXO II,</w:t>
      </w:r>
      <w:r>
        <w:rPr>
          <w:rFonts w:hint="default" w:ascii="Arial" w:hAnsi="Arial" w:cs="Arial"/>
          <w:b/>
          <w:sz w:val="24"/>
          <w:szCs w:val="24"/>
        </w:rPr>
        <w:t xml:space="preserve"> REFERENTE À REALIZAÇÃO DA OBRA DE PAVIMENTAÇÃO ASFÁLTICA NOS TRECHOS DAS RUAS</w:t>
      </w:r>
      <w:r>
        <w:rPr>
          <w:rFonts w:hint="default" w:ascii="Arial" w:hAnsi="Arial" w:cs="Arial"/>
          <w:b/>
          <w:sz w:val="24"/>
          <w:szCs w:val="24"/>
          <w:lang w:val="pt-BR"/>
        </w:rPr>
        <w:t xml:space="preserve"> SANTOS DUMONT E TUPIS.</w:t>
      </w: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b/>
          <w:sz w:val="24"/>
          <w:szCs w:val="24"/>
        </w:rPr>
      </w:pPr>
    </w:p>
    <w:p>
      <w:pPr>
        <w:keepNext w:val="0"/>
        <w:keepLines w:val="0"/>
        <w:pageBreakBefore w:val="0"/>
        <w:widowControl/>
        <w:kinsoku/>
        <w:wordWrap/>
        <w:overflowPunct/>
        <w:topLinePunct w:val="0"/>
        <w:autoSpaceDE w:val="0"/>
        <w:autoSpaceDN w:val="0"/>
        <w:bidi w:val="0"/>
        <w:adjustRightInd w:val="0"/>
        <w:snapToGrid/>
        <w:spacing w:after="0" w:line="240" w:lineRule="auto"/>
        <w:jc w:val="both"/>
        <w:textAlignment w:val="auto"/>
        <w:rPr>
          <w:rFonts w:hint="default" w:ascii="Arial" w:hAnsi="Arial" w:cs="Arial"/>
          <w:b/>
          <w:sz w:val="24"/>
          <w:szCs w:val="24"/>
          <w:u w:val="none"/>
          <w:lang w:val="pt-BR"/>
        </w:rPr>
      </w:pPr>
      <w:r>
        <w:rPr>
          <w:rFonts w:hint="default" w:ascii="Arial" w:hAnsi="Arial" w:cs="Arial"/>
          <w:b/>
          <w:sz w:val="24"/>
          <w:szCs w:val="24"/>
        </w:rPr>
        <w:t>O MUNICÍPIO DE TENENTE PORTELA, por seu Prefeito Municipal ROSEMAR ANTONIO SALA</w:t>
      </w:r>
      <w:r>
        <w:rPr>
          <w:rFonts w:hint="default" w:ascii="Arial" w:hAnsi="Arial" w:cs="Arial"/>
          <w:sz w:val="24"/>
          <w:szCs w:val="24"/>
        </w:rPr>
        <w:t>, no uso das atribuições que lhe confere a Lei Orgânica Municipal com base no artigo 145, III, da Constituição Federal, nos artigos 81 e 82 do Código Tributário Nacional, no Decreto-Lei n° 195/67, na Lei Municipal nº 2.587/20</w:t>
      </w:r>
      <w:r>
        <w:rPr>
          <w:rFonts w:hint="default" w:ascii="Arial" w:hAnsi="Arial" w:cs="Arial"/>
          <w:sz w:val="24"/>
          <w:szCs w:val="24"/>
          <w:lang w:val="pt-BR"/>
        </w:rPr>
        <w:t>19</w:t>
      </w:r>
      <w:r>
        <w:rPr>
          <w:rFonts w:hint="default" w:ascii="Arial" w:hAnsi="Arial" w:cs="Arial"/>
          <w:sz w:val="24"/>
          <w:szCs w:val="24"/>
        </w:rPr>
        <w:t xml:space="preserve"> e nos artigos 121 a 140 do Código Tributário Municipal, </w:t>
      </w:r>
      <w:r>
        <w:rPr>
          <w:rFonts w:hint="default" w:ascii="Arial" w:hAnsi="Arial" w:cs="Arial"/>
          <w:b/>
          <w:sz w:val="24"/>
          <w:szCs w:val="24"/>
        </w:rPr>
        <w:t xml:space="preserve">TORNA PÚBLICO </w:t>
      </w:r>
      <w:r>
        <w:rPr>
          <w:rFonts w:hint="default" w:ascii="Arial" w:hAnsi="Arial" w:cs="Arial"/>
          <w:sz w:val="24"/>
          <w:szCs w:val="24"/>
        </w:rPr>
        <w:t xml:space="preserve">a quem possa interessar, </w:t>
      </w:r>
      <w:r>
        <w:rPr>
          <w:rFonts w:hint="default" w:ascii="Arial" w:hAnsi="Arial" w:cs="Arial"/>
          <w:b/>
          <w:sz w:val="24"/>
          <w:szCs w:val="24"/>
          <w:u w:val="none"/>
        </w:rPr>
        <w:t>A RETIFICAÇÃO DO EDITAL DE CONTRIBUIÇÃO DE MELHORIA Nº 00</w:t>
      </w:r>
      <w:r>
        <w:rPr>
          <w:rFonts w:hint="default" w:ascii="Arial" w:hAnsi="Arial" w:cs="Arial"/>
          <w:b/>
          <w:sz w:val="24"/>
          <w:szCs w:val="24"/>
          <w:u w:val="none"/>
          <w:lang w:val="pt-BR"/>
        </w:rPr>
        <w:t>1</w:t>
      </w:r>
      <w:r>
        <w:rPr>
          <w:rFonts w:hint="default" w:ascii="Arial" w:hAnsi="Arial" w:cs="Arial"/>
          <w:b/>
          <w:sz w:val="24"/>
          <w:szCs w:val="24"/>
          <w:u w:val="none"/>
        </w:rPr>
        <w:t>/201</w:t>
      </w:r>
      <w:r>
        <w:rPr>
          <w:rFonts w:hint="default" w:ascii="Arial" w:hAnsi="Arial" w:cs="Arial"/>
          <w:b/>
          <w:sz w:val="24"/>
          <w:szCs w:val="24"/>
          <w:u w:val="none"/>
          <w:lang w:val="pt-BR"/>
        </w:rPr>
        <w:t>9, DO PROCEDIMENTO TRIBUTÁRIO DE CONTRIBUIÇÃO DE MELHORIA Nº 001/2019, DESCRIÇÕES DOS I</w:t>
      </w:r>
      <w:r>
        <w:rPr>
          <w:rFonts w:hint="default" w:ascii="Arial" w:hAnsi="Arial" w:cs="Arial"/>
          <w:b/>
          <w:sz w:val="24"/>
          <w:szCs w:val="24"/>
          <w:lang w:val="pt-BR"/>
        </w:rPr>
        <w:t xml:space="preserve">TENS 03 E 04, ALTERAÇÃO DO QUADRO DO ITEM 5, ESPECIFICAMENTE QUADRO DA RUA TUPIS, E REVOGAÇÃO DO ANEXO II, </w:t>
      </w:r>
      <w:r>
        <w:rPr>
          <w:rFonts w:hint="default" w:ascii="Arial" w:hAnsi="Arial" w:cs="Arial"/>
          <w:b/>
          <w:sz w:val="24"/>
          <w:szCs w:val="24"/>
          <w:u w:val="none"/>
        </w:rPr>
        <w:t>REFERENTE À REALIZAÇÃO DA OBRA DE PAVIMENTAÇÃO ASFÁLTICA NOS TRECHOS DAS RUAS</w:t>
      </w:r>
      <w:r>
        <w:rPr>
          <w:rFonts w:hint="default" w:ascii="Arial" w:hAnsi="Arial" w:cs="Arial"/>
          <w:b/>
          <w:sz w:val="24"/>
          <w:szCs w:val="24"/>
          <w:u w:val="none"/>
          <w:lang w:val="pt-BR"/>
        </w:rPr>
        <w:t xml:space="preserve"> SANTOS DUMONT E TUPIS, QUE PASSA A VIGORAR COM A SEGUINTE REDAÇÃO:</w:t>
      </w:r>
    </w:p>
    <w:p>
      <w:pPr>
        <w:keepNext w:val="0"/>
        <w:keepLines w:val="0"/>
        <w:pageBreakBefore w:val="0"/>
        <w:widowControl/>
        <w:kinsoku/>
        <w:wordWrap/>
        <w:overflowPunct/>
        <w:topLinePunct w:val="0"/>
        <w:autoSpaceDE w:val="0"/>
        <w:autoSpaceDN w:val="0"/>
        <w:bidi w:val="0"/>
        <w:adjustRightInd w:val="0"/>
        <w:snapToGrid/>
        <w:spacing w:after="0" w:line="240" w:lineRule="auto"/>
        <w:jc w:val="both"/>
        <w:textAlignment w:val="auto"/>
        <w:rPr>
          <w:rFonts w:hint="default" w:ascii="Arial" w:hAnsi="Arial" w:cs="Arial"/>
          <w:b/>
          <w:sz w:val="24"/>
          <w:szCs w:val="24"/>
          <w:lang w:val="pt-BR"/>
        </w:rPr>
      </w:pPr>
    </w:p>
    <w:p>
      <w:pPr>
        <w:keepNext w:val="0"/>
        <w:keepLines w:val="0"/>
        <w:pageBreakBefore w:val="0"/>
        <w:widowControl/>
        <w:kinsoku/>
        <w:wordWrap/>
        <w:overflowPunct/>
        <w:topLinePunct w:val="0"/>
        <w:autoSpaceDE w:val="0"/>
        <w:autoSpaceDN w:val="0"/>
        <w:bidi w:val="0"/>
        <w:adjustRightInd w:val="0"/>
        <w:snapToGrid/>
        <w:spacing w:after="0" w:line="240" w:lineRule="auto"/>
        <w:jc w:val="both"/>
        <w:textAlignment w:val="auto"/>
        <w:rPr>
          <w:rFonts w:hint="default" w:ascii="Arial" w:hAnsi="Arial" w:cs="Arial"/>
          <w:b/>
          <w:sz w:val="24"/>
          <w:szCs w:val="24"/>
          <w:lang w:val="pt-BR"/>
        </w:rPr>
      </w:pPr>
      <w:r>
        <w:rPr>
          <w:rFonts w:hint="default" w:ascii="Arial" w:hAnsi="Arial" w:cs="Arial"/>
          <w:b/>
          <w:sz w:val="24"/>
          <w:szCs w:val="24"/>
          <w:lang w:val="pt-BR"/>
        </w:rPr>
        <w:t>[...]</w:t>
      </w:r>
    </w:p>
    <w:p>
      <w:pPr>
        <w:keepNext w:val="0"/>
        <w:keepLines w:val="0"/>
        <w:pageBreakBefore w:val="0"/>
        <w:widowControl/>
        <w:numPr>
          <w:ilvl w:val="0"/>
          <w:numId w:val="0"/>
        </w:numPr>
        <w:kinsoku/>
        <w:wordWrap/>
        <w:overflowPunct/>
        <w:topLinePunct w:val="0"/>
        <w:bidi w:val="0"/>
        <w:snapToGrid/>
        <w:spacing w:after="0" w:line="240" w:lineRule="auto"/>
        <w:ind w:right="-81" w:rightChars="0"/>
        <w:jc w:val="both"/>
        <w:textAlignment w:val="auto"/>
        <w:rPr>
          <w:rFonts w:hint="default" w:ascii="Arial" w:hAnsi="Arial" w:cs="Arial"/>
          <w:b/>
          <w:sz w:val="24"/>
          <w:szCs w:val="24"/>
        </w:rPr>
      </w:pPr>
    </w:p>
    <w:p>
      <w:pPr>
        <w:keepNext w:val="0"/>
        <w:keepLines w:val="0"/>
        <w:pageBreakBefore w:val="0"/>
        <w:widowControl/>
        <w:numPr>
          <w:ilvl w:val="0"/>
          <w:numId w:val="0"/>
        </w:numPr>
        <w:kinsoku/>
        <w:wordWrap/>
        <w:overflowPunct/>
        <w:topLinePunct w:val="0"/>
        <w:bidi w:val="0"/>
        <w:snapToGrid/>
        <w:spacing w:after="0" w:line="240" w:lineRule="auto"/>
        <w:ind w:right="-81" w:rightChars="0"/>
        <w:jc w:val="both"/>
        <w:textAlignment w:val="auto"/>
        <w:rPr>
          <w:rFonts w:hint="default" w:ascii="Arial" w:hAnsi="Arial" w:cs="Arial"/>
          <w:sz w:val="24"/>
          <w:szCs w:val="24"/>
        </w:rPr>
      </w:pPr>
      <w:r>
        <w:rPr>
          <w:rFonts w:hint="default" w:ascii="Arial" w:hAnsi="Arial" w:cs="Arial"/>
          <w:b/>
          <w:sz w:val="24"/>
          <w:szCs w:val="24"/>
        </w:rPr>
        <w:t xml:space="preserve">03 - O CUSTO DA OBRA: </w:t>
      </w:r>
      <w:r>
        <w:rPr>
          <w:rFonts w:hint="default" w:ascii="Arial" w:hAnsi="Arial" w:cs="Arial"/>
          <w:sz w:val="24"/>
          <w:szCs w:val="24"/>
        </w:rPr>
        <w:t xml:space="preserve">R$ </w:t>
      </w:r>
      <w:r>
        <w:rPr>
          <w:rFonts w:hint="default" w:ascii="Arial" w:hAnsi="Arial" w:cs="Arial"/>
          <w:sz w:val="24"/>
          <w:szCs w:val="24"/>
          <w:lang w:val="pt-BR"/>
        </w:rPr>
        <w:t>288.102,63</w:t>
      </w:r>
      <w:r>
        <w:rPr>
          <w:rFonts w:hint="default" w:ascii="Arial" w:hAnsi="Arial" w:cs="Arial"/>
          <w:sz w:val="24"/>
          <w:szCs w:val="24"/>
        </w:rPr>
        <w:t xml:space="preserve"> (</w:t>
      </w:r>
      <w:r>
        <w:rPr>
          <w:rFonts w:hint="default" w:ascii="Arial" w:hAnsi="Arial" w:cs="Arial"/>
          <w:sz w:val="24"/>
          <w:szCs w:val="24"/>
          <w:lang w:val="pt-BR"/>
        </w:rPr>
        <w:t>duzentos e oitenta e oito mil, cento e dois reais e sessenta e três centavos</w:t>
      </w:r>
      <w:r>
        <w:rPr>
          <w:rFonts w:hint="default" w:ascii="Arial" w:hAnsi="Arial" w:cs="Arial"/>
          <w:sz w:val="24"/>
          <w:szCs w:val="24"/>
        </w:rPr>
        <w:t>), compreendido nestes todos os materiais e serviços constantes no Projeto e Memorial Descritivo da Obra, assim constituído:</w:t>
      </w:r>
    </w:p>
    <w:p>
      <w:pPr>
        <w:keepNext w:val="0"/>
        <w:keepLines w:val="0"/>
        <w:pageBreakBefore w:val="0"/>
        <w:widowControl/>
        <w:numPr>
          <w:ilvl w:val="0"/>
          <w:numId w:val="0"/>
        </w:numPr>
        <w:kinsoku/>
        <w:wordWrap/>
        <w:overflowPunct/>
        <w:topLinePunct w:val="0"/>
        <w:bidi w:val="0"/>
        <w:snapToGrid/>
        <w:spacing w:after="0" w:line="240" w:lineRule="auto"/>
        <w:ind w:right="-81" w:rightChars="0"/>
        <w:jc w:val="both"/>
        <w:textAlignment w:val="auto"/>
        <w:rPr>
          <w:rFonts w:hint="default" w:ascii="Arial" w:hAnsi="Arial" w:cs="Arial"/>
          <w:sz w:val="24"/>
          <w:szCs w:val="24"/>
        </w:rPr>
      </w:pPr>
    </w:p>
    <w:p>
      <w:pPr>
        <w:keepNext w:val="0"/>
        <w:keepLines w:val="0"/>
        <w:pageBreakBefore w:val="0"/>
        <w:widowControl/>
        <w:numPr>
          <w:ilvl w:val="0"/>
          <w:numId w:val="1"/>
        </w:numPr>
        <w:kinsoku/>
        <w:wordWrap/>
        <w:overflowPunct/>
        <w:topLinePunct w:val="0"/>
        <w:bidi w:val="0"/>
        <w:snapToGrid/>
        <w:spacing w:after="0" w:line="240" w:lineRule="auto"/>
        <w:ind w:left="420" w:leftChars="0"/>
        <w:jc w:val="both"/>
        <w:textAlignment w:val="auto"/>
        <w:rPr>
          <w:rFonts w:hint="default" w:ascii="Arial" w:hAnsi="Arial" w:cs="Arial"/>
          <w:sz w:val="24"/>
          <w:szCs w:val="24"/>
          <w:lang w:val="pt-BR"/>
        </w:rPr>
      </w:pPr>
      <w:r>
        <w:rPr>
          <w:rFonts w:hint="default" w:ascii="Arial" w:hAnsi="Arial" w:cs="Arial"/>
          <w:sz w:val="24"/>
          <w:szCs w:val="24"/>
        </w:rPr>
        <w:t xml:space="preserve">Valor total dos recursos provenientes de emenda parlamentar: </w:t>
      </w:r>
      <w:r>
        <w:rPr>
          <w:rFonts w:hint="default" w:ascii="Arial" w:hAnsi="Arial" w:cs="Arial"/>
          <w:sz w:val="24"/>
          <w:szCs w:val="24"/>
          <w:lang w:val="pt-BR"/>
        </w:rPr>
        <w:t>R$ 222.857,14 (duzentos e vinte e dois mil, oitocentos e cinquenta e sete reais e quatorze centavos).</w:t>
      </w:r>
    </w:p>
    <w:p>
      <w:pPr>
        <w:keepNext w:val="0"/>
        <w:keepLines w:val="0"/>
        <w:pageBreakBefore w:val="0"/>
        <w:widowControl/>
        <w:numPr>
          <w:ilvl w:val="0"/>
          <w:numId w:val="1"/>
        </w:numPr>
        <w:kinsoku/>
        <w:wordWrap/>
        <w:overflowPunct/>
        <w:topLinePunct w:val="0"/>
        <w:bidi w:val="0"/>
        <w:snapToGrid/>
        <w:spacing w:after="0" w:line="240" w:lineRule="auto"/>
        <w:ind w:left="420" w:leftChars="0" w:firstLine="0" w:firstLineChars="0"/>
        <w:jc w:val="both"/>
        <w:textAlignment w:val="auto"/>
        <w:rPr>
          <w:rFonts w:hint="default" w:ascii="Arial" w:hAnsi="Arial" w:cs="Arial"/>
          <w:sz w:val="24"/>
          <w:szCs w:val="24"/>
          <w:lang w:val="pt-BR"/>
        </w:rPr>
      </w:pPr>
      <w:r>
        <w:rPr>
          <w:rFonts w:hint="default" w:ascii="Arial" w:hAnsi="Arial" w:cs="Arial"/>
          <w:sz w:val="24"/>
          <w:szCs w:val="24"/>
        </w:rPr>
        <w:t xml:space="preserve">Valor total dos recursos próprios aportados como contrapartida pelo Município: </w:t>
      </w:r>
      <w:r>
        <w:rPr>
          <w:rFonts w:hint="default" w:ascii="Arial" w:hAnsi="Arial" w:cs="Arial"/>
          <w:sz w:val="24"/>
          <w:szCs w:val="24"/>
          <w:lang w:val="pt-BR"/>
        </w:rPr>
        <w:t>R$ 65.245,49 (sessenta e cinco mil, duzentos e quarenta e cinco reais e quarenta e nove centavos);</w:t>
      </w:r>
    </w:p>
    <w:p>
      <w:pPr>
        <w:keepNext w:val="0"/>
        <w:keepLines w:val="0"/>
        <w:pageBreakBefore w:val="0"/>
        <w:widowControl/>
        <w:numPr>
          <w:ilvl w:val="0"/>
          <w:numId w:val="0"/>
        </w:numPr>
        <w:kinsoku/>
        <w:wordWrap/>
        <w:overflowPunct/>
        <w:topLinePunct w:val="0"/>
        <w:bidi w:val="0"/>
        <w:snapToGrid/>
        <w:spacing w:after="0" w:line="240" w:lineRule="auto"/>
        <w:ind w:left="420" w:leftChars="0"/>
        <w:jc w:val="both"/>
        <w:textAlignment w:val="auto"/>
        <w:rPr>
          <w:rFonts w:hint="default" w:ascii="Arial" w:hAnsi="Arial" w:cs="Arial"/>
          <w:sz w:val="24"/>
          <w:szCs w:val="24"/>
          <w:lang w:val="pt-BR"/>
        </w:rPr>
      </w:pPr>
    </w:p>
    <w:p>
      <w:pPr>
        <w:spacing w:line="240" w:lineRule="auto"/>
        <w:ind w:right="-81"/>
        <w:jc w:val="both"/>
        <w:rPr>
          <w:rFonts w:hint="default" w:ascii="Arial" w:hAnsi="Arial" w:cs="Arial"/>
          <w:sz w:val="24"/>
          <w:szCs w:val="24"/>
          <w:lang w:val="pt-BR"/>
        </w:rPr>
      </w:pPr>
      <w:r>
        <w:rPr>
          <w:rFonts w:hint="default" w:ascii="Arial" w:hAnsi="Arial" w:cs="Arial"/>
          <w:b/>
          <w:sz w:val="24"/>
          <w:szCs w:val="24"/>
        </w:rPr>
        <w:t xml:space="preserve">3.1 </w:t>
      </w:r>
      <w:r>
        <w:rPr>
          <w:rFonts w:hint="default" w:ascii="Arial" w:hAnsi="Arial" w:cs="Arial"/>
          <w:sz w:val="24"/>
          <w:szCs w:val="24"/>
        </w:rPr>
        <w:t xml:space="preserve">Valor dos recursos próprios aportados pelo Município para realização de drenagem pluvial além do limite de extensão da área pavimentada: </w:t>
      </w:r>
      <w:r>
        <w:rPr>
          <w:rFonts w:hint="default" w:ascii="Arial" w:hAnsi="Arial" w:cs="Arial"/>
          <w:sz w:val="24"/>
          <w:szCs w:val="24"/>
          <w:lang w:val="pt-BR"/>
        </w:rPr>
        <w:t>R$ 13.063,69 (treze mil, sessenta e três reais e sessenta e nove centavos)</w:t>
      </w:r>
      <w:r>
        <w:rPr>
          <w:rFonts w:hint="default" w:ascii="Arial" w:hAnsi="Arial" w:cs="Arial"/>
          <w:sz w:val="24"/>
          <w:szCs w:val="24"/>
        </w:rPr>
        <w:t xml:space="preserve">. Tais recursos </w:t>
      </w:r>
      <w:r>
        <w:rPr>
          <w:rFonts w:hint="default" w:ascii="Arial" w:hAnsi="Arial" w:cs="Arial"/>
          <w:b/>
          <w:sz w:val="24"/>
          <w:szCs w:val="24"/>
        </w:rPr>
        <w:t>não integram</w:t>
      </w:r>
      <w:r>
        <w:rPr>
          <w:rFonts w:hint="default" w:ascii="Arial" w:hAnsi="Arial" w:cs="Arial"/>
          <w:sz w:val="24"/>
          <w:szCs w:val="24"/>
        </w:rPr>
        <w:t xml:space="preserve"> a parcela do custo da obra para fins de cobrança de melhoria, nos termos do art. 6º, §4º da Lei Municipal nº 2.</w:t>
      </w:r>
      <w:r>
        <w:rPr>
          <w:rFonts w:hint="default" w:ascii="Arial" w:hAnsi="Arial" w:cs="Arial"/>
          <w:sz w:val="24"/>
          <w:szCs w:val="24"/>
          <w:lang w:val="pt-BR"/>
        </w:rPr>
        <w:t>587/2019.</w:t>
      </w:r>
    </w:p>
    <w:p>
      <w:pPr>
        <w:spacing w:line="240" w:lineRule="auto"/>
        <w:ind w:right="-81"/>
        <w:jc w:val="both"/>
        <w:rPr>
          <w:rFonts w:hint="default" w:ascii="Arial" w:hAnsi="Arial" w:cs="Arial"/>
          <w:sz w:val="24"/>
          <w:szCs w:val="24"/>
          <w:lang w:val="pt-BR"/>
        </w:rPr>
      </w:pPr>
      <w:r>
        <w:rPr>
          <w:rFonts w:hint="default" w:ascii="Arial" w:hAnsi="Arial" w:cs="Arial"/>
          <w:b/>
          <w:sz w:val="24"/>
          <w:szCs w:val="24"/>
        </w:rPr>
        <w:t>3.2</w:t>
      </w:r>
      <w:r>
        <w:rPr>
          <w:rFonts w:hint="default" w:ascii="Arial" w:hAnsi="Arial" w:cs="Arial"/>
          <w:sz w:val="24"/>
          <w:szCs w:val="24"/>
        </w:rPr>
        <w:t xml:space="preserve"> Valor dos recursos próprios a ser considerado para a Contribuição de Melhoria:</w:t>
      </w:r>
      <w:r>
        <w:rPr>
          <w:rFonts w:hint="default" w:ascii="Arial" w:hAnsi="Arial" w:cs="Arial"/>
          <w:sz w:val="24"/>
          <w:szCs w:val="24"/>
          <w:lang w:val="pt-BR"/>
        </w:rPr>
        <w:t xml:space="preserve"> R$ 52.181,80 (cinquenta e dois mil, cento e oitenta e um reais e oitenta centavos), por rua pavimentada:</w:t>
      </w:r>
    </w:p>
    <w:p>
      <w:pPr>
        <w:keepNext w:val="0"/>
        <w:keepLines w:val="0"/>
        <w:pageBreakBefore w:val="0"/>
        <w:widowControl/>
        <w:numPr>
          <w:ilvl w:val="0"/>
          <w:numId w:val="2"/>
        </w:numPr>
        <w:kinsoku/>
        <w:wordWrap/>
        <w:overflowPunct/>
        <w:topLinePunct w:val="0"/>
        <w:bidi w:val="0"/>
        <w:snapToGrid/>
        <w:spacing w:after="0" w:line="240" w:lineRule="auto"/>
        <w:ind w:left="708" w:leftChars="0" w:firstLine="0" w:firstLineChars="0"/>
        <w:jc w:val="both"/>
        <w:textAlignment w:val="auto"/>
        <w:rPr>
          <w:rFonts w:hint="default" w:ascii="Arial" w:hAnsi="Arial" w:cs="Arial"/>
          <w:sz w:val="24"/>
          <w:szCs w:val="24"/>
          <w:lang w:val="pt-BR"/>
        </w:rPr>
      </w:pPr>
      <w:r>
        <w:rPr>
          <w:rFonts w:hint="default" w:ascii="Arial" w:hAnsi="Arial" w:cs="Arial"/>
          <w:sz w:val="24"/>
          <w:szCs w:val="24"/>
          <w:lang w:val="pt-BR"/>
        </w:rPr>
        <w:t>Rua Santos Dumont: R$ 20.016,94 (vinte mil, dezeseis reais e noventa e quatro centavos);</w:t>
      </w:r>
    </w:p>
    <w:p>
      <w:pPr>
        <w:keepNext w:val="0"/>
        <w:keepLines w:val="0"/>
        <w:pageBreakBefore w:val="0"/>
        <w:widowControl/>
        <w:numPr>
          <w:ilvl w:val="0"/>
          <w:numId w:val="2"/>
        </w:numPr>
        <w:kinsoku/>
        <w:wordWrap/>
        <w:overflowPunct/>
        <w:topLinePunct w:val="0"/>
        <w:bidi w:val="0"/>
        <w:snapToGrid/>
        <w:spacing w:after="0" w:line="240" w:lineRule="auto"/>
        <w:ind w:left="708" w:leftChars="0" w:firstLine="0" w:firstLineChars="0"/>
        <w:jc w:val="both"/>
        <w:textAlignment w:val="auto"/>
        <w:rPr>
          <w:rFonts w:hint="default" w:ascii="Arial" w:hAnsi="Arial" w:cs="Arial"/>
          <w:sz w:val="24"/>
          <w:szCs w:val="24"/>
          <w:lang w:val="pt-BR"/>
        </w:rPr>
      </w:pPr>
      <w:r>
        <w:rPr>
          <w:rFonts w:hint="default" w:ascii="Arial" w:hAnsi="Arial" w:cs="Arial"/>
          <w:sz w:val="24"/>
          <w:szCs w:val="24"/>
          <w:lang w:val="pt-BR"/>
        </w:rPr>
        <w:t>Rua Tupis: R$ 32.164,86 (trinta e dois mil, cento e sessenta e quatro reais e oitenta e seis centavos);</w:t>
      </w:r>
    </w:p>
    <w:p>
      <w:pPr>
        <w:pStyle w:val="18"/>
        <w:tabs>
          <w:tab w:val="left" w:pos="284"/>
          <w:tab w:val="left" w:pos="1134"/>
        </w:tabs>
        <w:spacing w:line="240" w:lineRule="auto"/>
        <w:ind w:left="851" w:right="-81"/>
        <w:jc w:val="both"/>
        <w:rPr>
          <w:rFonts w:hint="default" w:ascii="Arial" w:hAnsi="Arial" w:cs="Arial"/>
          <w:i/>
          <w:sz w:val="24"/>
          <w:szCs w:val="24"/>
        </w:rPr>
      </w:pPr>
    </w:p>
    <w:p>
      <w:pPr>
        <w:pStyle w:val="18"/>
        <w:tabs>
          <w:tab w:val="left" w:pos="284"/>
          <w:tab w:val="left" w:pos="1134"/>
        </w:tabs>
        <w:spacing w:line="240" w:lineRule="auto"/>
        <w:ind w:left="851" w:right="-81"/>
        <w:jc w:val="both"/>
        <w:rPr>
          <w:rFonts w:hint="default" w:ascii="Arial" w:hAnsi="Arial" w:cs="Arial"/>
          <w:i/>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lang w:val="pt-BR"/>
        </w:rPr>
      </w:pPr>
      <w:r>
        <w:rPr>
          <w:rFonts w:hint="default" w:ascii="Arial" w:hAnsi="Arial" w:cs="Arial"/>
          <w:b/>
          <w:sz w:val="24"/>
          <w:szCs w:val="24"/>
        </w:rPr>
        <w:t xml:space="preserve">04 - PARCELA A SER FINANCIADA PELA CONTRIBUIÇÃO DE MELHORIA: </w:t>
      </w:r>
      <w:r>
        <w:rPr>
          <w:rFonts w:hint="default" w:ascii="Arial" w:hAnsi="Arial" w:cs="Arial"/>
          <w:sz w:val="24"/>
          <w:szCs w:val="24"/>
        </w:rPr>
        <w:t xml:space="preserve">A importância a ser absorvida pelos contribuintes é de 50% do valor total dos recursos próprios aportados como contrapartida pelo Município para a realização da obra (art. 2º, da LM 2.587/19), no montante de R$ </w:t>
      </w:r>
      <w:r>
        <w:rPr>
          <w:rFonts w:hint="default" w:ascii="Arial" w:hAnsi="Arial" w:cs="Arial"/>
          <w:sz w:val="24"/>
          <w:szCs w:val="24"/>
          <w:lang w:val="pt-BR"/>
        </w:rPr>
        <w:t>26.090,90 (vinte e seis mil, noventa reais e noventa centavos).</w:t>
      </w:r>
    </w:p>
    <w:p>
      <w:pPr>
        <w:spacing w:after="0" w:line="240" w:lineRule="auto"/>
        <w:ind w:right="-81"/>
        <w:jc w:val="both"/>
        <w:rPr>
          <w:rFonts w:hint="default" w:ascii="Arial" w:hAnsi="Arial" w:cs="Arial"/>
          <w:sz w:val="24"/>
          <w:szCs w:val="24"/>
        </w:rPr>
      </w:pPr>
    </w:p>
    <w:p>
      <w:pPr>
        <w:tabs>
          <w:tab w:val="left" w:pos="426"/>
        </w:tabs>
        <w:spacing w:after="0" w:line="240" w:lineRule="auto"/>
        <w:ind w:right="-81"/>
        <w:jc w:val="both"/>
        <w:rPr>
          <w:rFonts w:hint="default" w:ascii="Arial" w:hAnsi="Arial" w:cs="Arial"/>
          <w:sz w:val="24"/>
          <w:szCs w:val="24"/>
        </w:rPr>
      </w:pPr>
      <w:r>
        <w:rPr>
          <w:rFonts w:hint="default" w:ascii="Arial" w:hAnsi="Arial" w:cs="Arial"/>
          <w:b/>
          <w:sz w:val="24"/>
          <w:szCs w:val="24"/>
        </w:rPr>
        <w:t>4.1</w:t>
      </w:r>
      <w:r>
        <w:rPr>
          <w:rFonts w:hint="default" w:ascii="Arial" w:hAnsi="Arial" w:cs="Arial"/>
          <w:sz w:val="24"/>
          <w:szCs w:val="24"/>
        </w:rPr>
        <w:t xml:space="preserve"> Parcela da obra a ser financiada pela Contribuição de Melhoria por rua pavimentada:</w:t>
      </w: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r>
        <w:rPr>
          <w:rFonts w:hint="default" w:ascii="Arial" w:hAnsi="Arial" w:cs="Arial"/>
          <w:sz w:val="24"/>
          <w:szCs w:val="24"/>
        </w:rPr>
        <w:t xml:space="preserve">R$ </w:t>
      </w:r>
      <w:r>
        <w:rPr>
          <w:rFonts w:hint="default" w:ascii="Arial" w:hAnsi="Arial" w:cs="Arial"/>
          <w:sz w:val="24"/>
          <w:szCs w:val="24"/>
          <w:lang w:val="pt-BR"/>
        </w:rPr>
        <w:t>26.090,90 (vinte e seis mil, noventa reais e noventa centavos)</w:t>
      </w:r>
      <w:r>
        <w:rPr>
          <w:rFonts w:hint="default" w:ascii="Arial" w:hAnsi="Arial" w:cs="Arial"/>
          <w:sz w:val="24"/>
          <w:szCs w:val="24"/>
        </w:rPr>
        <w:t>:</w:t>
      </w:r>
    </w:p>
    <w:p>
      <w:pPr>
        <w:keepNext w:val="0"/>
        <w:keepLines w:val="0"/>
        <w:pageBreakBefore w:val="0"/>
        <w:widowControl/>
        <w:kinsoku/>
        <w:wordWrap/>
        <w:overflowPunct/>
        <w:topLinePunct w:val="0"/>
        <w:bidi w:val="0"/>
        <w:snapToGrid/>
        <w:spacing w:after="0" w:line="240" w:lineRule="auto"/>
        <w:ind w:firstLine="708" w:firstLineChars="0"/>
        <w:jc w:val="both"/>
        <w:textAlignment w:val="auto"/>
        <w:rPr>
          <w:rFonts w:hint="default" w:ascii="Arial" w:hAnsi="Arial" w:cs="Arial"/>
          <w:sz w:val="24"/>
          <w:szCs w:val="24"/>
          <w:lang w:val="pt-BR"/>
        </w:rPr>
      </w:pPr>
      <w:r>
        <w:rPr>
          <w:rFonts w:hint="default" w:ascii="Arial" w:hAnsi="Arial" w:cs="Arial"/>
          <w:sz w:val="24"/>
          <w:szCs w:val="24"/>
          <w:lang w:val="pt-BR"/>
        </w:rPr>
        <w:t>I) Rua Santos Dumont: R$ 10.008,47(dez mil, oito reais e quarenta e sete centavos);</w:t>
      </w:r>
    </w:p>
    <w:p>
      <w:pPr>
        <w:keepNext w:val="0"/>
        <w:keepLines w:val="0"/>
        <w:pageBreakBefore w:val="0"/>
        <w:widowControl/>
        <w:kinsoku/>
        <w:wordWrap/>
        <w:overflowPunct/>
        <w:topLinePunct w:val="0"/>
        <w:bidi w:val="0"/>
        <w:snapToGrid/>
        <w:spacing w:after="0" w:line="240" w:lineRule="auto"/>
        <w:ind w:firstLine="708" w:firstLineChars="0"/>
        <w:jc w:val="both"/>
        <w:textAlignment w:val="auto"/>
        <w:rPr>
          <w:rFonts w:hint="default" w:ascii="Arial" w:hAnsi="Arial" w:cs="Arial"/>
          <w:sz w:val="24"/>
          <w:szCs w:val="24"/>
          <w:lang w:val="pt-BR"/>
        </w:rPr>
      </w:pPr>
      <w:r>
        <w:rPr>
          <w:rFonts w:hint="default" w:ascii="Arial" w:hAnsi="Arial" w:cs="Arial"/>
          <w:sz w:val="24"/>
          <w:szCs w:val="24"/>
          <w:lang w:val="pt-BR"/>
        </w:rPr>
        <w:t>II) Rua Tupis: R$ 16.082,43 (dezeseis mil, oitenta e dois reais e quarenta e três centavos).</w:t>
      </w:r>
    </w:p>
    <w:p>
      <w:pPr>
        <w:keepNext w:val="0"/>
        <w:keepLines w:val="0"/>
        <w:pageBreakBefore w:val="0"/>
        <w:widowControl/>
        <w:kinsoku/>
        <w:wordWrap/>
        <w:overflowPunct/>
        <w:topLinePunct w:val="0"/>
        <w:bidi w:val="0"/>
        <w:snapToGrid/>
        <w:spacing w:after="0" w:line="240" w:lineRule="auto"/>
        <w:ind w:firstLine="708" w:firstLineChars="0"/>
        <w:jc w:val="both"/>
        <w:textAlignment w:val="auto"/>
        <w:rPr>
          <w:rFonts w:hint="default" w:ascii="Arial" w:hAnsi="Arial" w:cs="Arial"/>
          <w:sz w:val="24"/>
          <w:szCs w:val="24"/>
          <w:lang w:val="pt-BR"/>
        </w:rPr>
      </w:pPr>
    </w:p>
    <w:p>
      <w:pPr>
        <w:keepNext w:val="0"/>
        <w:keepLines w:val="0"/>
        <w:pageBreakBefore w:val="0"/>
        <w:widowControl/>
        <w:kinsoku/>
        <w:wordWrap/>
        <w:overflowPunct/>
        <w:topLinePunct w:val="0"/>
        <w:bidi w:val="0"/>
        <w:snapToGrid/>
        <w:spacing w:after="0" w:line="240" w:lineRule="auto"/>
        <w:ind w:firstLine="708" w:firstLineChars="0"/>
        <w:jc w:val="both"/>
        <w:textAlignment w:val="auto"/>
        <w:rPr>
          <w:rFonts w:hint="default" w:ascii="Arial" w:hAnsi="Arial" w:cs="Arial"/>
          <w:sz w:val="24"/>
          <w:szCs w:val="24"/>
          <w:lang w:val="pt-BR"/>
        </w:rPr>
      </w:pPr>
    </w:p>
    <w:p>
      <w:pPr>
        <w:autoSpaceDE w:val="0"/>
        <w:autoSpaceDN w:val="0"/>
        <w:adjustRightInd w:val="0"/>
        <w:spacing w:after="0" w:line="360" w:lineRule="auto"/>
        <w:jc w:val="both"/>
        <w:rPr>
          <w:rFonts w:ascii="Arial" w:hAnsi="Arial" w:cs="Arial"/>
          <w:sz w:val="24"/>
          <w:szCs w:val="24"/>
        </w:rPr>
      </w:pPr>
      <w:r>
        <w:rPr>
          <w:rFonts w:ascii="Arial" w:hAnsi="Arial" w:cs="Arial"/>
          <w:b/>
          <w:sz w:val="24"/>
          <w:szCs w:val="24"/>
        </w:rPr>
        <w:t xml:space="preserve">05 - DELIMITAÇÃO DA ÁREA DE INFLUÊNCIA DA OBRA: </w:t>
      </w:r>
      <w:r>
        <w:rPr>
          <w:rFonts w:ascii="Arial" w:hAnsi="Arial" w:cs="Arial"/>
          <w:sz w:val="24"/>
          <w:szCs w:val="24"/>
        </w:rPr>
        <w:t>A Contribuição de Melhoria será cobrada dos proprietários de imóveis situados nas áreas diretamente beneficiadas pela obra de pavimentação asfáltica, ou seja, dos imóveis confrontantes com as ruas citadas no Item 01, a seguir relacionados:</w:t>
      </w:r>
    </w:p>
    <w:p>
      <w:pPr>
        <w:autoSpaceDE w:val="0"/>
        <w:autoSpaceDN w:val="0"/>
        <w:adjustRightInd w:val="0"/>
        <w:spacing w:after="0" w:line="360" w:lineRule="auto"/>
        <w:jc w:val="center"/>
        <w:rPr>
          <w:rFonts w:ascii="Arial" w:hAnsi="Arial" w:cs="Arial"/>
          <w:b/>
          <w:sz w:val="24"/>
          <w:szCs w:val="24"/>
        </w:rPr>
      </w:pPr>
    </w:p>
    <w:p>
      <w:pPr>
        <w:spacing w:after="0" w:line="360" w:lineRule="auto"/>
        <w:ind w:right="-79"/>
        <w:jc w:val="center"/>
        <w:rPr>
          <w:rFonts w:ascii="Arial" w:hAnsi="Arial" w:cs="Arial"/>
          <w:b/>
          <w:sz w:val="24"/>
          <w:szCs w:val="24"/>
        </w:rPr>
      </w:pPr>
      <w:r>
        <w:rPr>
          <w:rFonts w:ascii="Arial" w:hAnsi="Arial" w:cs="Arial"/>
          <w:b/>
          <w:sz w:val="24"/>
          <w:szCs w:val="24"/>
          <w:u w:val="single"/>
        </w:rPr>
        <w:t>IMÓVEIS DA RUA SANTOS DUMONT:</w:t>
      </w:r>
    </w:p>
    <w:p>
      <w:pPr>
        <w:spacing w:after="0" w:line="360" w:lineRule="auto"/>
        <w:ind w:right="-79"/>
        <w:jc w:val="both"/>
        <w:rPr>
          <w:rFonts w:ascii="Arial" w:hAnsi="Arial" w:cs="Arial"/>
          <w:b/>
          <w:sz w:val="24"/>
          <w:szCs w:val="24"/>
        </w:rPr>
      </w:pPr>
    </w:p>
    <w:p>
      <w:pPr>
        <w:spacing w:after="0" w:line="360" w:lineRule="auto"/>
        <w:ind w:right="-81"/>
        <w:jc w:val="both"/>
        <w:rPr>
          <w:rFonts w:ascii="Arial" w:hAnsi="Arial" w:cs="Arial"/>
          <w:b/>
          <w:sz w:val="24"/>
          <w:szCs w:val="24"/>
        </w:rPr>
      </w:pPr>
      <w:r>
        <w:rPr>
          <w:rFonts w:ascii="Arial" w:hAnsi="Arial" w:cs="Arial"/>
          <w:b/>
          <w:sz w:val="24"/>
          <w:szCs w:val="24"/>
        </w:rPr>
        <w:t xml:space="preserve">Lote n° </w:t>
      </w:r>
      <w:r>
        <w:rPr>
          <w:rFonts w:ascii="Arial" w:hAnsi="Arial" w:cs="Arial"/>
          <w:b/>
          <w:sz w:val="24"/>
          <w:szCs w:val="24"/>
        </w:rPr>
        <w:tab/>
      </w:r>
      <w:r>
        <w:rPr>
          <w:rFonts w:ascii="Arial" w:hAnsi="Arial" w:cs="Arial"/>
          <w:b/>
          <w:sz w:val="24"/>
          <w:szCs w:val="24"/>
        </w:rPr>
        <w:tab/>
      </w:r>
      <w:r>
        <w:rPr>
          <w:rFonts w:ascii="Arial" w:hAnsi="Arial" w:cs="Arial"/>
          <w:b/>
          <w:sz w:val="24"/>
          <w:szCs w:val="24"/>
        </w:rPr>
        <w:t xml:space="preserve">Quadra     </w:t>
      </w:r>
      <w:r>
        <w:rPr>
          <w:rFonts w:ascii="Arial" w:hAnsi="Arial" w:cs="Arial"/>
          <w:b/>
          <w:sz w:val="24"/>
          <w:szCs w:val="24"/>
        </w:rPr>
        <w:tab/>
      </w:r>
      <w:r>
        <w:rPr>
          <w:rFonts w:ascii="Arial" w:hAnsi="Arial" w:cs="Arial"/>
          <w:b/>
          <w:sz w:val="24"/>
          <w:szCs w:val="24"/>
        </w:rPr>
        <w:t xml:space="preserve">         Área (m2)            Avaliação R$</w:t>
      </w:r>
      <w:r>
        <w:rPr>
          <w:rFonts w:ascii="Arial" w:hAnsi="Arial" w:cs="Arial"/>
          <w:b/>
          <w:sz w:val="24"/>
          <w:szCs w:val="24"/>
        </w:rPr>
        <w:tab/>
      </w:r>
    </w:p>
    <w:tbl>
      <w:tblPr>
        <w:tblStyle w:val="12"/>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418"/>
        <w:gridCol w:w="2409"/>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01-3,6</w:t>
            </w:r>
          </w:p>
        </w:tc>
        <w:tc>
          <w:tcPr>
            <w:tcW w:w="1418" w:type="dxa"/>
          </w:tcPr>
          <w:p>
            <w:pPr>
              <w:spacing w:after="0" w:line="360" w:lineRule="auto"/>
              <w:jc w:val="center"/>
              <w:rPr>
                <w:rFonts w:ascii="Arial" w:hAnsi="Arial" w:cs="Arial"/>
                <w:b/>
                <w:sz w:val="24"/>
                <w:szCs w:val="24"/>
              </w:rPr>
            </w:pPr>
            <w:r>
              <w:rPr>
                <w:rFonts w:ascii="Arial" w:hAnsi="Arial" w:cs="Arial"/>
                <w:b/>
                <w:sz w:val="24"/>
                <w:szCs w:val="24"/>
              </w:rPr>
              <w:t>30</w:t>
            </w:r>
          </w:p>
        </w:tc>
        <w:tc>
          <w:tcPr>
            <w:tcW w:w="2409" w:type="dxa"/>
          </w:tcPr>
          <w:p>
            <w:pPr>
              <w:spacing w:after="0" w:line="360" w:lineRule="auto"/>
              <w:jc w:val="center"/>
              <w:rPr>
                <w:rFonts w:ascii="Arial" w:hAnsi="Arial" w:cs="Arial"/>
                <w:b/>
                <w:sz w:val="24"/>
                <w:szCs w:val="24"/>
              </w:rPr>
            </w:pPr>
            <w:r>
              <w:rPr>
                <w:rFonts w:ascii="Arial" w:hAnsi="Arial" w:cs="Arial"/>
                <w:b/>
                <w:sz w:val="24"/>
                <w:szCs w:val="24"/>
              </w:rPr>
              <w:t>2330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975.604,75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04-05</w:t>
            </w:r>
          </w:p>
        </w:tc>
        <w:tc>
          <w:tcPr>
            <w:tcW w:w="1418" w:type="dxa"/>
          </w:tcPr>
          <w:p>
            <w:pPr>
              <w:spacing w:after="0" w:line="360" w:lineRule="auto"/>
              <w:jc w:val="center"/>
              <w:rPr>
                <w:rFonts w:ascii="Arial" w:hAnsi="Arial" w:cs="Arial"/>
                <w:b/>
                <w:sz w:val="24"/>
                <w:szCs w:val="24"/>
              </w:rPr>
            </w:pPr>
            <w:r>
              <w:rPr>
                <w:rFonts w:ascii="Arial" w:hAnsi="Arial" w:cs="Arial"/>
                <w:b/>
                <w:sz w:val="24"/>
                <w:szCs w:val="24"/>
              </w:rPr>
              <w:t>30</w:t>
            </w:r>
          </w:p>
        </w:tc>
        <w:tc>
          <w:tcPr>
            <w:tcW w:w="2409" w:type="dxa"/>
          </w:tcPr>
          <w:p>
            <w:pPr>
              <w:spacing w:after="0" w:line="360" w:lineRule="auto"/>
              <w:jc w:val="center"/>
              <w:rPr>
                <w:rFonts w:ascii="Arial" w:hAnsi="Arial" w:cs="Arial"/>
                <w:b/>
                <w:sz w:val="24"/>
                <w:szCs w:val="24"/>
              </w:rPr>
            </w:pPr>
            <w:r>
              <w:rPr>
                <w:rFonts w:ascii="Arial" w:hAnsi="Arial" w:cs="Arial"/>
                <w:b/>
                <w:sz w:val="24"/>
                <w:szCs w:val="24"/>
              </w:rPr>
              <w:t>1255</w:t>
            </w:r>
          </w:p>
        </w:tc>
        <w:tc>
          <w:tcPr>
            <w:tcW w:w="2835" w:type="dxa"/>
          </w:tcPr>
          <w:p>
            <w:pPr>
              <w:spacing w:after="0" w:line="360" w:lineRule="auto"/>
              <w:jc w:val="center"/>
              <w:rPr>
                <w:rFonts w:ascii="Arial" w:hAnsi="Arial" w:cs="Arial"/>
                <w:b/>
                <w:sz w:val="24"/>
                <w:szCs w:val="24"/>
              </w:rPr>
            </w:pPr>
            <w:r>
              <w:rPr>
                <w:rFonts w:ascii="Arial" w:hAnsi="Arial" w:cs="Arial"/>
                <w:b/>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1</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117.607,65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2</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111.017,06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3</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67.137,14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4</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88.226,86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15, sub lote 01</w:t>
            </w:r>
          </w:p>
        </w:tc>
        <w:tc>
          <w:tcPr>
            <w:tcW w:w="1418" w:type="dxa"/>
          </w:tcPr>
          <w:p>
            <w:pPr>
              <w:spacing w:after="0" w:line="360" w:lineRule="auto"/>
              <w:jc w:val="center"/>
              <w:rPr>
                <w:rFonts w:ascii="Arial" w:hAnsi="Arial" w:cs="Arial"/>
                <w:b/>
                <w:sz w:val="24"/>
                <w:szCs w:val="24"/>
              </w:rPr>
            </w:pPr>
            <w:r>
              <w:rPr>
                <w:rFonts w:ascii="Arial" w:hAnsi="Arial" w:cs="Arial"/>
                <w:b/>
                <w:sz w:val="24"/>
                <w:szCs w:val="24"/>
              </w:rPr>
              <w:t>86</w:t>
            </w:r>
          </w:p>
        </w:tc>
        <w:tc>
          <w:tcPr>
            <w:tcW w:w="2409" w:type="dxa"/>
          </w:tcPr>
          <w:p>
            <w:pPr>
              <w:spacing w:after="0" w:line="360" w:lineRule="auto"/>
              <w:jc w:val="center"/>
              <w:rPr>
                <w:rFonts w:ascii="Arial" w:hAnsi="Arial" w:cs="Arial"/>
                <w:b/>
                <w:sz w:val="24"/>
                <w:szCs w:val="24"/>
              </w:rPr>
            </w:pPr>
            <w:r>
              <w:rPr>
                <w:rFonts w:ascii="Arial" w:hAnsi="Arial" w:cs="Arial"/>
                <w:b/>
                <w:sz w:val="24"/>
                <w:szCs w:val="24"/>
              </w:rPr>
              <w:t>623,62</w:t>
            </w:r>
          </w:p>
        </w:tc>
        <w:tc>
          <w:tcPr>
            <w:tcW w:w="2835" w:type="dxa"/>
          </w:tcPr>
          <w:p>
            <w:pPr>
              <w:spacing w:after="0" w:line="360" w:lineRule="auto"/>
              <w:jc w:val="center"/>
              <w:rPr>
                <w:rFonts w:ascii="Arial" w:hAnsi="Arial" w:cs="Arial"/>
                <w:b/>
                <w:sz w:val="24"/>
                <w:szCs w:val="24"/>
              </w:rPr>
            </w:pPr>
            <w:r>
              <w:rPr>
                <w:rFonts w:ascii="Arial" w:hAnsi="Arial" w:cs="Arial"/>
                <w:b/>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1</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128.479,02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2</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68.202,11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3</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65.696,84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15, sub lote 02</w:t>
            </w:r>
          </w:p>
        </w:tc>
        <w:tc>
          <w:tcPr>
            <w:tcW w:w="1418" w:type="dxa"/>
          </w:tcPr>
          <w:p>
            <w:pPr>
              <w:spacing w:after="0" w:line="360" w:lineRule="auto"/>
              <w:jc w:val="center"/>
              <w:rPr>
                <w:rFonts w:ascii="Arial" w:hAnsi="Arial" w:cs="Arial"/>
                <w:b/>
                <w:sz w:val="24"/>
                <w:szCs w:val="24"/>
              </w:rPr>
            </w:pPr>
            <w:r>
              <w:rPr>
                <w:rFonts w:ascii="Arial" w:hAnsi="Arial" w:cs="Arial"/>
                <w:b/>
                <w:sz w:val="24"/>
                <w:szCs w:val="24"/>
              </w:rPr>
              <w:t>86</w:t>
            </w:r>
          </w:p>
        </w:tc>
        <w:tc>
          <w:tcPr>
            <w:tcW w:w="2409" w:type="dxa"/>
          </w:tcPr>
          <w:p>
            <w:pPr>
              <w:spacing w:after="0" w:line="360" w:lineRule="auto"/>
              <w:jc w:val="center"/>
              <w:rPr>
                <w:rFonts w:ascii="Arial" w:hAnsi="Arial" w:cs="Arial"/>
                <w:b/>
                <w:sz w:val="24"/>
                <w:szCs w:val="24"/>
              </w:rPr>
            </w:pPr>
            <w:r>
              <w:rPr>
                <w:rFonts w:ascii="Arial" w:hAnsi="Arial" w:cs="Arial"/>
                <w:b/>
                <w:sz w:val="24"/>
                <w:szCs w:val="24"/>
              </w:rPr>
              <w:t>7784,38</w:t>
            </w:r>
          </w:p>
        </w:tc>
        <w:tc>
          <w:tcPr>
            <w:tcW w:w="2835" w:type="dxa"/>
          </w:tcPr>
          <w:p>
            <w:pPr>
              <w:spacing w:after="0" w:line="360" w:lineRule="auto"/>
              <w:jc w:val="center"/>
              <w:rPr>
                <w:rFonts w:ascii="Arial" w:hAnsi="Arial" w:cs="Arial"/>
                <w:b/>
                <w:sz w:val="24"/>
                <w:szCs w:val="24"/>
              </w:rPr>
            </w:pPr>
            <w:r>
              <w:rPr>
                <w:rFonts w:ascii="Arial" w:hAnsi="Arial" w:cs="Arial"/>
                <w:b/>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1</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126.418,75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2</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204.986,45</w:t>
            </w:r>
          </w:p>
        </w:tc>
      </w:tr>
    </w:tbl>
    <w:p>
      <w:pPr>
        <w:spacing w:after="0" w:line="360" w:lineRule="auto"/>
        <w:ind w:right="-81"/>
        <w:jc w:val="both"/>
        <w:rPr>
          <w:rFonts w:ascii="Arial" w:hAnsi="Arial" w:cs="Arial"/>
          <w:b/>
          <w:sz w:val="24"/>
          <w:szCs w:val="24"/>
        </w:rPr>
      </w:pPr>
    </w:p>
    <w:p>
      <w:pPr>
        <w:spacing w:after="0" w:line="360" w:lineRule="auto"/>
        <w:ind w:right="-79"/>
        <w:jc w:val="center"/>
        <w:rPr>
          <w:rFonts w:ascii="Arial" w:hAnsi="Arial" w:cs="Arial"/>
          <w:b/>
          <w:sz w:val="24"/>
          <w:szCs w:val="24"/>
          <w:u w:val="single"/>
        </w:rPr>
      </w:pPr>
      <w:r>
        <w:rPr>
          <w:rFonts w:ascii="Arial" w:hAnsi="Arial" w:cs="Arial"/>
          <w:b/>
          <w:sz w:val="24"/>
          <w:szCs w:val="24"/>
          <w:u w:val="single"/>
        </w:rPr>
        <w:t>IMÓVEIS DA RUA TUPIS:</w:t>
      </w:r>
    </w:p>
    <w:p>
      <w:pPr>
        <w:spacing w:after="0" w:line="360" w:lineRule="auto"/>
        <w:ind w:right="-79"/>
        <w:jc w:val="both"/>
        <w:rPr>
          <w:rFonts w:ascii="Arial" w:hAnsi="Arial" w:cs="Arial"/>
          <w:b/>
          <w:sz w:val="24"/>
          <w:szCs w:val="24"/>
        </w:rPr>
      </w:pPr>
    </w:p>
    <w:p>
      <w:pPr>
        <w:spacing w:after="0" w:line="360" w:lineRule="auto"/>
        <w:ind w:right="-81"/>
        <w:jc w:val="both"/>
        <w:rPr>
          <w:rFonts w:ascii="Arial" w:hAnsi="Arial" w:cs="Arial"/>
          <w:b/>
          <w:sz w:val="24"/>
          <w:szCs w:val="24"/>
        </w:rPr>
      </w:pPr>
      <w:r>
        <w:rPr>
          <w:rFonts w:ascii="Arial" w:hAnsi="Arial" w:cs="Arial"/>
          <w:b/>
          <w:sz w:val="24"/>
          <w:szCs w:val="24"/>
        </w:rPr>
        <w:t xml:space="preserve">      Lote n° </w:t>
      </w:r>
      <w:r>
        <w:rPr>
          <w:rFonts w:ascii="Arial" w:hAnsi="Arial" w:cs="Arial"/>
          <w:b/>
          <w:sz w:val="24"/>
          <w:szCs w:val="24"/>
        </w:rPr>
        <w:tab/>
      </w:r>
      <w:r>
        <w:rPr>
          <w:rFonts w:ascii="Arial" w:hAnsi="Arial" w:cs="Arial"/>
          <w:b/>
          <w:sz w:val="24"/>
          <w:szCs w:val="24"/>
        </w:rPr>
        <w:tab/>
      </w:r>
      <w:r>
        <w:rPr>
          <w:rFonts w:ascii="Arial" w:hAnsi="Arial" w:cs="Arial"/>
          <w:b/>
          <w:sz w:val="24"/>
          <w:szCs w:val="24"/>
        </w:rPr>
        <w:t xml:space="preserve">Quadra     </w:t>
      </w:r>
      <w:r>
        <w:rPr>
          <w:rFonts w:ascii="Arial" w:hAnsi="Arial" w:cs="Arial"/>
          <w:b/>
          <w:sz w:val="24"/>
          <w:szCs w:val="24"/>
        </w:rPr>
        <w:tab/>
      </w:r>
      <w:r>
        <w:rPr>
          <w:rFonts w:ascii="Arial" w:hAnsi="Arial" w:cs="Arial"/>
          <w:b/>
          <w:sz w:val="24"/>
          <w:szCs w:val="24"/>
        </w:rPr>
        <w:t xml:space="preserve">       Área (m2)                  Avaliação R$</w:t>
      </w:r>
    </w:p>
    <w:tbl>
      <w:tblPr>
        <w:tblStyle w:val="12"/>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418"/>
        <w:gridCol w:w="2409"/>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01-3,6</w:t>
            </w:r>
          </w:p>
        </w:tc>
        <w:tc>
          <w:tcPr>
            <w:tcW w:w="1418" w:type="dxa"/>
          </w:tcPr>
          <w:p>
            <w:pPr>
              <w:spacing w:after="0" w:line="360" w:lineRule="auto"/>
              <w:jc w:val="center"/>
              <w:rPr>
                <w:rFonts w:ascii="Arial" w:hAnsi="Arial" w:cs="Arial"/>
                <w:b/>
                <w:sz w:val="24"/>
                <w:szCs w:val="24"/>
              </w:rPr>
            </w:pPr>
            <w:r>
              <w:rPr>
                <w:rFonts w:ascii="Arial" w:hAnsi="Arial" w:cs="Arial"/>
                <w:b/>
                <w:sz w:val="24"/>
                <w:szCs w:val="24"/>
              </w:rPr>
              <w:t>30</w:t>
            </w:r>
          </w:p>
        </w:tc>
        <w:tc>
          <w:tcPr>
            <w:tcW w:w="2409" w:type="dxa"/>
          </w:tcPr>
          <w:p>
            <w:pPr>
              <w:spacing w:after="0" w:line="360" w:lineRule="auto"/>
              <w:jc w:val="center"/>
              <w:rPr>
                <w:rFonts w:ascii="Arial" w:hAnsi="Arial" w:cs="Arial"/>
                <w:b/>
                <w:sz w:val="24"/>
                <w:szCs w:val="24"/>
              </w:rPr>
            </w:pPr>
            <w:r>
              <w:rPr>
                <w:rFonts w:ascii="Arial" w:hAnsi="Arial" w:cs="Arial"/>
                <w:b/>
                <w:sz w:val="24"/>
                <w:szCs w:val="24"/>
              </w:rPr>
              <w:t>2330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975.604,75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07</w:t>
            </w:r>
          </w:p>
        </w:tc>
        <w:tc>
          <w:tcPr>
            <w:tcW w:w="1418" w:type="dxa"/>
          </w:tcPr>
          <w:p>
            <w:pPr>
              <w:spacing w:after="0" w:line="360" w:lineRule="auto"/>
              <w:jc w:val="center"/>
              <w:rPr>
                <w:rFonts w:ascii="Arial" w:hAnsi="Arial" w:cs="Arial"/>
                <w:b/>
                <w:sz w:val="24"/>
                <w:szCs w:val="24"/>
              </w:rPr>
            </w:pPr>
            <w:r>
              <w:rPr>
                <w:rFonts w:ascii="Arial" w:hAnsi="Arial" w:cs="Arial"/>
                <w:b/>
                <w:sz w:val="24"/>
                <w:szCs w:val="24"/>
              </w:rPr>
              <w:t>30</w:t>
            </w:r>
          </w:p>
        </w:tc>
        <w:tc>
          <w:tcPr>
            <w:tcW w:w="2409" w:type="dxa"/>
          </w:tcPr>
          <w:p>
            <w:pPr>
              <w:spacing w:after="0" w:line="360" w:lineRule="auto"/>
              <w:jc w:val="center"/>
              <w:rPr>
                <w:rFonts w:ascii="Arial" w:hAnsi="Arial" w:cs="Arial"/>
                <w:b/>
                <w:sz w:val="24"/>
                <w:szCs w:val="24"/>
              </w:rPr>
            </w:pPr>
            <w:r>
              <w:rPr>
                <w:rFonts w:ascii="Arial" w:hAnsi="Arial" w:cs="Arial"/>
                <w:b/>
                <w:sz w:val="24"/>
                <w:szCs w:val="24"/>
              </w:rPr>
              <w:t>660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64.172,11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09</w:t>
            </w:r>
          </w:p>
        </w:tc>
        <w:tc>
          <w:tcPr>
            <w:tcW w:w="1418" w:type="dxa"/>
          </w:tcPr>
          <w:p>
            <w:pPr>
              <w:spacing w:after="0" w:line="360" w:lineRule="auto"/>
              <w:jc w:val="center"/>
              <w:rPr>
                <w:rFonts w:ascii="Arial" w:hAnsi="Arial" w:cs="Arial"/>
                <w:b/>
                <w:sz w:val="24"/>
                <w:szCs w:val="24"/>
              </w:rPr>
            </w:pPr>
            <w:r>
              <w:rPr>
                <w:rFonts w:ascii="Arial" w:hAnsi="Arial" w:cs="Arial"/>
                <w:b/>
                <w:sz w:val="24"/>
                <w:szCs w:val="24"/>
              </w:rPr>
              <w:t>30</w:t>
            </w:r>
          </w:p>
        </w:tc>
        <w:tc>
          <w:tcPr>
            <w:tcW w:w="2409" w:type="dxa"/>
          </w:tcPr>
          <w:p>
            <w:pPr>
              <w:spacing w:after="0" w:line="360" w:lineRule="auto"/>
              <w:jc w:val="center"/>
              <w:rPr>
                <w:rFonts w:ascii="Arial" w:hAnsi="Arial" w:cs="Arial"/>
                <w:b/>
                <w:sz w:val="24"/>
                <w:szCs w:val="24"/>
              </w:rPr>
            </w:pPr>
            <w:r>
              <w:rPr>
                <w:rFonts w:ascii="Arial" w:hAnsi="Arial" w:cs="Arial"/>
                <w:b/>
                <w:sz w:val="24"/>
                <w:szCs w:val="24"/>
              </w:rPr>
              <w:t>654</w:t>
            </w:r>
          </w:p>
        </w:tc>
        <w:tc>
          <w:tcPr>
            <w:tcW w:w="2835" w:type="dxa"/>
          </w:tcPr>
          <w:p>
            <w:pPr>
              <w:spacing w:after="0" w:line="360" w:lineRule="auto"/>
              <w:jc w:val="center"/>
              <w:rPr>
                <w:rFonts w:ascii="Arial" w:hAnsi="Arial" w:cs="Arial"/>
                <w:b/>
                <w:sz w:val="24"/>
                <w:szCs w:val="24"/>
              </w:rPr>
            </w:pPr>
            <w:r>
              <w:rPr>
                <w:rFonts w:ascii="Arial" w:hAnsi="Arial" w:cs="Arial"/>
                <w:b/>
                <w:sz w:val="24"/>
                <w:szCs w:val="24"/>
              </w:rPr>
              <w:t>64.172,11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11</w:t>
            </w:r>
          </w:p>
        </w:tc>
        <w:tc>
          <w:tcPr>
            <w:tcW w:w="1418" w:type="dxa"/>
          </w:tcPr>
          <w:p>
            <w:pPr>
              <w:spacing w:after="0" w:line="360" w:lineRule="auto"/>
              <w:jc w:val="center"/>
              <w:rPr>
                <w:rFonts w:ascii="Arial" w:hAnsi="Arial" w:cs="Arial"/>
                <w:b/>
                <w:sz w:val="24"/>
                <w:szCs w:val="24"/>
              </w:rPr>
            </w:pPr>
            <w:r>
              <w:rPr>
                <w:rFonts w:ascii="Arial" w:hAnsi="Arial" w:cs="Arial"/>
                <w:b/>
                <w:sz w:val="24"/>
                <w:szCs w:val="24"/>
              </w:rPr>
              <w:t>30</w:t>
            </w:r>
          </w:p>
        </w:tc>
        <w:tc>
          <w:tcPr>
            <w:tcW w:w="2409" w:type="dxa"/>
          </w:tcPr>
          <w:p>
            <w:pPr>
              <w:spacing w:after="0" w:line="360" w:lineRule="auto"/>
              <w:jc w:val="center"/>
              <w:rPr>
                <w:rFonts w:ascii="Arial" w:hAnsi="Arial" w:cs="Arial"/>
                <w:b/>
                <w:sz w:val="24"/>
                <w:szCs w:val="24"/>
              </w:rPr>
            </w:pPr>
            <w:r>
              <w:rPr>
                <w:rFonts w:ascii="Arial" w:hAnsi="Arial" w:cs="Arial"/>
                <w:b/>
                <w:sz w:val="24"/>
                <w:szCs w:val="24"/>
              </w:rPr>
              <w:t>750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228.557,97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12</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123</w:t>
            </w:r>
          </w:p>
        </w:tc>
        <w:tc>
          <w:tcPr>
            <w:tcW w:w="2409" w:type="dxa"/>
          </w:tcPr>
          <w:p>
            <w:pPr>
              <w:spacing w:after="0" w:line="360" w:lineRule="auto"/>
              <w:jc w:val="center"/>
              <w:rPr>
                <w:rFonts w:ascii="Arial" w:hAnsi="Arial" w:cs="Arial"/>
                <w:b/>
                <w:sz w:val="24"/>
                <w:szCs w:val="24"/>
              </w:rPr>
            </w:pPr>
            <w:r>
              <w:rPr>
                <w:rFonts w:ascii="Arial" w:hAnsi="Arial" w:cs="Arial"/>
                <w:b/>
                <w:sz w:val="24"/>
                <w:szCs w:val="24"/>
              </w:rPr>
              <w:t>334,50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84.998,73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13</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123</w:t>
            </w:r>
          </w:p>
        </w:tc>
        <w:tc>
          <w:tcPr>
            <w:tcW w:w="2409" w:type="dxa"/>
          </w:tcPr>
          <w:p>
            <w:pPr>
              <w:spacing w:after="0" w:line="360" w:lineRule="auto"/>
              <w:jc w:val="center"/>
              <w:rPr>
                <w:rFonts w:ascii="Arial" w:hAnsi="Arial" w:cs="Arial"/>
                <w:b/>
                <w:sz w:val="24"/>
                <w:szCs w:val="24"/>
              </w:rPr>
            </w:pPr>
            <w:r>
              <w:rPr>
                <w:rFonts w:ascii="Arial" w:hAnsi="Arial" w:cs="Arial"/>
                <w:b/>
                <w:sz w:val="24"/>
                <w:szCs w:val="24"/>
              </w:rPr>
              <w:t>270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1</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58.817,56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2</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62.998,79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14-B</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123</w:t>
            </w:r>
          </w:p>
        </w:tc>
        <w:tc>
          <w:tcPr>
            <w:tcW w:w="2409" w:type="dxa"/>
          </w:tcPr>
          <w:p>
            <w:pPr>
              <w:spacing w:after="0" w:line="360" w:lineRule="auto"/>
              <w:jc w:val="center"/>
              <w:rPr>
                <w:rFonts w:ascii="Arial" w:hAnsi="Arial" w:cs="Arial"/>
                <w:b/>
                <w:sz w:val="24"/>
                <w:szCs w:val="24"/>
              </w:rPr>
            </w:pPr>
            <w:r>
              <w:rPr>
                <w:rFonts w:ascii="Arial" w:hAnsi="Arial" w:cs="Arial"/>
                <w:b/>
                <w:sz w:val="24"/>
                <w:szCs w:val="24"/>
              </w:rPr>
              <w:t>260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1</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86.620,77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sz w:val="24"/>
                <w:szCs w:val="24"/>
              </w:rPr>
            </w:pPr>
            <w:r>
              <w:rPr>
                <w:rFonts w:ascii="Arial" w:hAnsi="Arial" w:cs="Arial"/>
                <w:sz w:val="24"/>
                <w:szCs w:val="24"/>
              </w:rPr>
              <w:t>Unidade 2</w:t>
            </w:r>
          </w:p>
        </w:tc>
        <w:tc>
          <w:tcPr>
            <w:tcW w:w="1418" w:type="dxa"/>
          </w:tcPr>
          <w:p>
            <w:pPr>
              <w:spacing w:after="0" w:line="360" w:lineRule="auto"/>
              <w:jc w:val="center"/>
              <w:rPr>
                <w:rFonts w:ascii="Arial" w:hAnsi="Arial" w:cs="Arial"/>
                <w:sz w:val="24"/>
                <w:szCs w:val="24"/>
              </w:rPr>
            </w:pPr>
            <w:r>
              <w:rPr>
                <w:rFonts w:ascii="Arial" w:hAnsi="Arial" w:cs="Arial"/>
                <w:sz w:val="24"/>
                <w:szCs w:val="24"/>
              </w:rPr>
              <w:t>-</w:t>
            </w:r>
          </w:p>
        </w:tc>
        <w:tc>
          <w:tcPr>
            <w:tcW w:w="2409" w:type="dxa"/>
          </w:tcPr>
          <w:p>
            <w:pPr>
              <w:spacing w:after="0" w:line="360" w:lineRule="auto"/>
              <w:jc w:val="center"/>
              <w:rPr>
                <w:rFonts w:ascii="Arial" w:hAnsi="Arial" w:cs="Arial"/>
                <w:sz w:val="24"/>
                <w:szCs w:val="24"/>
              </w:rPr>
            </w:pPr>
            <w:r>
              <w:rPr>
                <w:rFonts w:ascii="Arial" w:hAnsi="Arial" w:cs="Arial"/>
                <w:sz w:val="24"/>
                <w:szCs w:val="24"/>
              </w:rPr>
              <w:t>-</w:t>
            </w:r>
          </w:p>
        </w:tc>
        <w:tc>
          <w:tcPr>
            <w:tcW w:w="2835" w:type="dxa"/>
          </w:tcPr>
          <w:p>
            <w:pPr>
              <w:spacing w:after="0" w:line="360" w:lineRule="auto"/>
              <w:jc w:val="center"/>
              <w:rPr>
                <w:rFonts w:ascii="Arial" w:hAnsi="Arial" w:cs="Arial"/>
                <w:sz w:val="24"/>
                <w:szCs w:val="24"/>
              </w:rPr>
            </w:pPr>
            <w:r>
              <w:rPr>
                <w:rFonts w:ascii="Arial" w:hAnsi="Arial" w:cs="Arial"/>
                <w:sz w:val="24"/>
                <w:szCs w:val="24"/>
              </w:rPr>
              <w:t>69.407,89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01, sub lote 01</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125</w:t>
            </w:r>
          </w:p>
        </w:tc>
        <w:tc>
          <w:tcPr>
            <w:tcW w:w="2409" w:type="dxa"/>
          </w:tcPr>
          <w:p>
            <w:pPr>
              <w:spacing w:after="0" w:line="360" w:lineRule="auto"/>
              <w:jc w:val="center"/>
              <w:rPr>
                <w:rFonts w:ascii="Arial" w:hAnsi="Arial" w:cs="Arial"/>
                <w:b/>
                <w:sz w:val="24"/>
                <w:szCs w:val="24"/>
              </w:rPr>
            </w:pPr>
            <w:r>
              <w:rPr>
                <w:rFonts w:ascii="Arial" w:hAnsi="Arial" w:cs="Arial"/>
                <w:b/>
                <w:sz w:val="24"/>
                <w:szCs w:val="24"/>
              </w:rPr>
              <w:t>241,57</w:t>
            </w:r>
          </w:p>
        </w:tc>
        <w:tc>
          <w:tcPr>
            <w:tcW w:w="2835" w:type="dxa"/>
          </w:tcPr>
          <w:p>
            <w:pPr>
              <w:spacing w:after="0" w:line="360" w:lineRule="auto"/>
              <w:jc w:val="center"/>
              <w:rPr>
                <w:rFonts w:ascii="Arial" w:hAnsi="Arial" w:cs="Arial"/>
                <w:b/>
                <w:sz w:val="24"/>
                <w:szCs w:val="24"/>
              </w:rPr>
            </w:pPr>
            <w:r>
              <w:rPr>
                <w:rFonts w:ascii="Arial" w:hAnsi="Arial" w:cs="Arial"/>
                <w:b/>
                <w:sz w:val="24"/>
                <w:szCs w:val="24"/>
              </w:rPr>
              <w:t>113.651,79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01, sub lote 02</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125</w:t>
            </w:r>
          </w:p>
        </w:tc>
        <w:tc>
          <w:tcPr>
            <w:tcW w:w="2409" w:type="dxa"/>
          </w:tcPr>
          <w:p>
            <w:pPr>
              <w:spacing w:after="0" w:line="360" w:lineRule="auto"/>
              <w:jc w:val="center"/>
              <w:rPr>
                <w:rFonts w:ascii="Arial" w:hAnsi="Arial" w:cs="Arial"/>
                <w:b/>
                <w:sz w:val="24"/>
                <w:szCs w:val="24"/>
              </w:rPr>
            </w:pPr>
            <w:r>
              <w:rPr>
                <w:rFonts w:ascii="Arial" w:hAnsi="Arial" w:cs="Arial"/>
                <w:b/>
                <w:sz w:val="24"/>
                <w:szCs w:val="24"/>
              </w:rPr>
              <w:t>168,40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83.082,47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02</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125</w:t>
            </w:r>
          </w:p>
        </w:tc>
        <w:tc>
          <w:tcPr>
            <w:tcW w:w="2409" w:type="dxa"/>
          </w:tcPr>
          <w:p>
            <w:pPr>
              <w:spacing w:after="0" w:line="360" w:lineRule="auto"/>
              <w:jc w:val="center"/>
              <w:rPr>
                <w:rFonts w:ascii="Arial" w:hAnsi="Arial" w:cs="Arial"/>
                <w:b/>
                <w:sz w:val="24"/>
                <w:szCs w:val="24"/>
              </w:rPr>
            </w:pPr>
            <w:r>
              <w:rPr>
                <w:rFonts w:ascii="Arial" w:hAnsi="Arial" w:cs="Arial"/>
                <w:b/>
                <w:sz w:val="24"/>
                <w:szCs w:val="24"/>
              </w:rPr>
              <w:t>638</w:t>
            </w:r>
          </w:p>
        </w:tc>
        <w:tc>
          <w:tcPr>
            <w:tcW w:w="2835" w:type="dxa"/>
          </w:tcPr>
          <w:p>
            <w:pPr>
              <w:spacing w:after="0" w:line="360" w:lineRule="auto"/>
              <w:jc w:val="center"/>
              <w:rPr>
                <w:rFonts w:ascii="Arial" w:hAnsi="Arial" w:cs="Arial"/>
                <w:b/>
                <w:sz w:val="24"/>
                <w:szCs w:val="24"/>
              </w:rPr>
            </w:pPr>
            <w:r>
              <w:rPr>
                <w:rFonts w:ascii="Arial" w:hAnsi="Arial" w:cs="Arial"/>
                <w:b/>
                <w:sz w:val="24"/>
                <w:szCs w:val="24"/>
              </w:rPr>
              <w:t>124.193,83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03</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125</w:t>
            </w:r>
          </w:p>
        </w:tc>
        <w:tc>
          <w:tcPr>
            <w:tcW w:w="2409" w:type="dxa"/>
          </w:tcPr>
          <w:p>
            <w:pPr>
              <w:spacing w:after="0" w:line="360" w:lineRule="auto"/>
              <w:jc w:val="center"/>
              <w:rPr>
                <w:rFonts w:ascii="Arial" w:hAnsi="Arial" w:cs="Arial"/>
                <w:b/>
                <w:sz w:val="24"/>
                <w:szCs w:val="24"/>
              </w:rPr>
            </w:pPr>
            <w:r>
              <w:rPr>
                <w:rFonts w:ascii="Arial" w:hAnsi="Arial" w:cs="Arial"/>
                <w:b/>
                <w:sz w:val="24"/>
                <w:szCs w:val="24"/>
              </w:rPr>
              <w:t>370</w:t>
            </w:r>
          </w:p>
        </w:tc>
        <w:tc>
          <w:tcPr>
            <w:tcW w:w="2835" w:type="dxa"/>
          </w:tcPr>
          <w:p>
            <w:pPr>
              <w:spacing w:after="0" w:line="360" w:lineRule="auto"/>
              <w:jc w:val="center"/>
              <w:rPr>
                <w:rFonts w:ascii="Arial" w:hAnsi="Arial" w:cs="Arial"/>
                <w:b/>
                <w:sz w:val="24"/>
                <w:szCs w:val="24"/>
              </w:rPr>
            </w:pPr>
            <w:r>
              <w:rPr>
                <w:rFonts w:ascii="Arial" w:hAnsi="Arial" w:cs="Arial"/>
                <w:b/>
                <w:sz w:val="24"/>
                <w:szCs w:val="24"/>
              </w:rPr>
              <w:t>128.862,27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04</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125</w:t>
            </w:r>
          </w:p>
        </w:tc>
        <w:tc>
          <w:tcPr>
            <w:tcW w:w="2409" w:type="dxa"/>
          </w:tcPr>
          <w:p>
            <w:pPr>
              <w:spacing w:after="0" w:line="360" w:lineRule="auto"/>
              <w:jc w:val="center"/>
              <w:rPr>
                <w:rFonts w:ascii="Arial" w:hAnsi="Arial" w:cs="Arial"/>
                <w:b/>
                <w:sz w:val="24"/>
                <w:szCs w:val="24"/>
              </w:rPr>
            </w:pPr>
            <w:r>
              <w:rPr>
                <w:rFonts w:ascii="Arial" w:hAnsi="Arial" w:cs="Arial"/>
                <w:b/>
                <w:sz w:val="24"/>
                <w:szCs w:val="24"/>
              </w:rPr>
              <w:t>354</w:t>
            </w:r>
          </w:p>
        </w:tc>
        <w:tc>
          <w:tcPr>
            <w:tcW w:w="2835" w:type="dxa"/>
          </w:tcPr>
          <w:p>
            <w:pPr>
              <w:spacing w:after="0" w:line="360" w:lineRule="auto"/>
              <w:jc w:val="center"/>
              <w:rPr>
                <w:rFonts w:ascii="Arial" w:hAnsi="Arial" w:cs="Arial"/>
                <w:b/>
                <w:sz w:val="24"/>
                <w:szCs w:val="24"/>
              </w:rPr>
            </w:pPr>
            <w:r>
              <w:rPr>
                <w:rFonts w:ascii="Arial" w:hAnsi="Arial" w:cs="Arial"/>
                <w:b/>
                <w:sz w:val="24"/>
                <w:szCs w:val="24"/>
              </w:rPr>
              <w:t>184.322,62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05</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125</w:t>
            </w:r>
          </w:p>
        </w:tc>
        <w:tc>
          <w:tcPr>
            <w:tcW w:w="2409" w:type="dxa"/>
          </w:tcPr>
          <w:p>
            <w:pPr>
              <w:spacing w:after="0" w:line="360" w:lineRule="auto"/>
              <w:jc w:val="center"/>
              <w:rPr>
                <w:rFonts w:ascii="Arial" w:hAnsi="Arial" w:cs="Arial"/>
                <w:b/>
                <w:sz w:val="24"/>
                <w:szCs w:val="24"/>
              </w:rPr>
            </w:pPr>
            <w:r>
              <w:rPr>
                <w:rFonts w:ascii="Arial" w:hAnsi="Arial" w:cs="Arial"/>
                <w:b/>
                <w:sz w:val="24"/>
                <w:szCs w:val="24"/>
              </w:rPr>
              <w:t>273</w:t>
            </w:r>
          </w:p>
        </w:tc>
        <w:tc>
          <w:tcPr>
            <w:tcW w:w="2835" w:type="dxa"/>
          </w:tcPr>
          <w:p>
            <w:pPr>
              <w:spacing w:after="0" w:line="360" w:lineRule="auto"/>
              <w:jc w:val="center"/>
              <w:rPr>
                <w:rFonts w:ascii="Arial" w:hAnsi="Arial" w:cs="Arial"/>
                <w:b/>
                <w:sz w:val="24"/>
                <w:szCs w:val="24"/>
              </w:rPr>
            </w:pPr>
            <w:r>
              <w:rPr>
                <w:rFonts w:ascii="Arial" w:hAnsi="Arial" w:cs="Arial"/>
                <w:b/>
                <w:sz w:val="24"/>
                <w:szCs w:val="24"/>
              </w:rPr>
              <w:t>88.252,45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Pr>
          <w:p>
            <w:pPr>
              <w:spacing w:after="0" w:line="360" w:lineRule="auto"/>
              <w:jc w:val="center"/>
              <w:rPr>
                <w:rFonts w:ascii="Arial" w:hAnsi="Arial" w:cs="Arial"/>
                <w:b/>
                <w:sz w:val="24"/>
                <w:szCs w:val="24"/>
              </w:rPr>
            </w:pPr>
            <w:r>
              <w:rPr>
                <w:rFonts w:ascii="Arial" w:hAnsi="Arial" w:cs="Arial"/>
                <w:b/>
                <w:sz w:val="24"/>
                <w:szCs w:val="24"/>
              </w:rPr>
              <w:t>05-A</w:t>
            </w:r>
          </w:p>
        </w:tc>
        <w:tc>
          <w:tcPr>
            <w:tcW w:w="1418" w:type="dxa"/>
          </w:tcPr>
          <w:p>
            <w:pPr>
              <w:spacing w:after="0" w:line="360" w:lineRule="auto"/>
              <w:jc w:val="center"/>
              <w:rPr>
                <w:rFonts w:ascii="Arial" w:hAnsi="Arial" w:cs="Arial"/>
                <w:b/>
                <w:sz w:val="24"/>
                <w:szCs w:val="24"/>
              </w:rPr>
            </w:pPr>
            <w:r>
              <w:rPr>
                <w:rFonts w:ascii="Arial" w:hAnsi="Arial" w:cs="Arial"/>
                <w:b/>
                <w:sz w:val="24"/>
                <w:szCs w:val="24"/>
              </w:rPr>
              <w:t>125</w:t>
            </w:r>
          </w:p>
        </w:tc>
        <w:tc>
          <w:tcPr>
            <w:tcW w:w="2409" w:type="dxa"/>
          </w:tcPr>
          <w:p>
            <w:pPr>
              <w:spacing w:after="0" w:line="360" w:lineRule="auto"/>
              <w:jc w:val="center"/>
              <w:rPr>
                <w:rFonts w:ascii="Arial" w:hAnsi="Arial" w:cs="Arial"/>
                <w:b/>
                <w:sz w:val="24"/>
                <w:szCs w:val="24"/>
              </w:rPr>
            </w:pPr>
            <w:r>
              <w:rPr>
                <w:rFonts w:ascii="Arial" w:hAnsi="Arial" w:cs="Arial"/>
                <w:b/>
                <w:sz w:val="24"/>
                <w:szCs w:val="24"/>
              </w:rPr>
              <w:t>183</w:t>
            </w:r>
          </w:p>
        </w:tc>
        <w:tc>
          <w:tcPr>
            <w:tcW w:w="2835" w:type="dxa"/>
          </w:tcPr>
          <w:p>
            <w:pPr>
              <w:spacing w:after="0" w:line="360" w:lineRule="auto"/>
              <w:jc w:val="center"/>
              <w:rPr>
                <w:rFonts w:ascii="Arial" w:hAnsi="Arial" w:cs="Arial"/>
                <w:b/>
                <w:sz w:val="24"/>
                <w:szCs w:val="24"/>
              </w:rPr>
            </w:pPr>
            <w:r>
              <w:rPr>
                <w:rFonts w:ascii="Arial" w:hAnsi="Arial" w:cs="Arial"/>
                <w:b/>
                <w:sz w:val="24"/>
                <w:szCs w:val="24"/>
              </w:rPr>
              <w:t>95.250,12</w:t>
            </w:r>
          </w:p>
        </w:tc>
      </w:tr>
    </w:tbl>
    <w:p>
      <w:pPr>
        <w:spacing w:after="0" w:line="360" w:lineRule="auto"/>
        <w:ind w:right="-79"/>
        <w:rPr>
          <w:rFonts w:ascii="Arial" w:hAnsi="Arial" w:cs="Arial"/>
          <w:b/>
          <w:color w:val="5B9BD5" w:themeColor="accent1"/>
          <w:sz w:val="24"/>
          <w:szCs w:val="24"/>
          <w:u w:val="single"/>
          <w14:textFill>
            <w14:solidFill>
              <w14:schemeClr w14:val="accent1"/>
            </w14:solidFill>
          </w14:textFill>
        </w:rPr>
      </w:pPr>
    </w:p>
    <w:p>
      <w:pPr>
        <w:keepNext w:val="0"/>
        <w:keepLines w:val="0"/>
        <w:pageBreakBefore w:val="0"/>
        <w:widowControl/>
        <w:kinsoku/>
        <w:wordWrap/>
        <w:overflowPunct/>
        <w:topLinePunct w:val="0"/>
        <w:bidi w:val="0"/>
        <w:snapToGrid/>
        <w:spacing w:after="0" w:line="240" w:lineRule="auto"/>
        <w:ind w:firstLine="708" w:firstLineChars="0"/>
        <w:jc w:val="both"/>
        <w:textAlignment w:val="auto"/>
        <w:rPr>
          <w:rFonts w:hint="default" w:ascii="Arial" w:hAnsi="Arial" w:cs="Arial"/>
          <w:sz w:val="24"/>
          <w:szCs w:val="24"/>
          <w:lang w:val="pt-BR"/>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p>
    <w:p>
      <w:pPr>
        <w:keepNext w:val="0"/>
        <w:keepLines w:val="0"/>
        <w:pageBreakBefore w:val="0"/>
        <w:widowControl/>
        <w:kinsoku/>
        <w:wordWrap/>
        <w:overflowPunct/>
        <w:topLinePunct w:val="0"/>
        <w:bidi w:val="0"/>
        <w:snapToGrid/>
        <w:spacing w:after="0" w:line="240" w:lineRule="auto"/>
        <w:ind w:right="-81"/>
        <w:jc w:val="both"/>
        <w:textAlignment w:val="auto"/>
        <w:rPr>
          <w:rFonts w:hint="default" w:ascii="Arial" w:hAnsi="Arial" w:cs="Arial"/>
          <w:sz w:val="24"/>
          <w:szCs w:val="24"/>
        </w:rPr>
      </w:pPr>
      <w:r>
        <w:rPr>
          <w:rFonts w:hint="default" w:ascii="Arial" w:hAnsi="Arial" w:cs="Arial"/>
          <w:sz w:val="24"/>
          <w:szCs w:val="24"/>
        </w:rPr>
        <w:t xml:space="preserve">Ficam os proprietários dos imóveis descritos no quadro de que trata o </w:t>
      </w:r>
      <w:r>
        <w:rPr>
          <w:rFonts w:hint="default" w:ascii="Arial" w:hAnsi="Arial" w:cs="Arial"/>
          <w:sz w:val="24"/>
          <w:szCs w:val="24"/>
          <w:lang w:val="pt-BR"/>
        </w:rPr>
        <w:t>item 5</w:t>
      </w:r>
      <w:r>
        <w:rPr>
          <w:rFonts w:hint="default" w:ascii="Arial" w:hAnsi="Arial" w:cs="Arial"/>
          <w:sz w:val="24"/>
          <w:szCs w:val="24"/>
        </w:rPr>
        <w:t>, deste edital, NOTIFICADOS do prazo de 30 (trinta) dias para impugnar, junto a Administração Municipal, mediante requerimento devidamente motivado das razões da impugnação e documentos probatórios, quanto a qualquer dos elementos constantes do presente Edital.</w:t>
      </w:r>
    </w:p>
    <w:p>
      <w:pPr>
        <w:keepNext w:val="0"/>
        <w:keepLines w:val="0"/>
        <w:pageBreakBefore w:val="0"/>
        <w:widowControl/>
        <w:kinsoku/>
        <w:wordWrap/>
        <w:overflowPunct/>
        <w:topLinePunct w:val="0"/>
        <w:autoSpaceDE w:val="0"/>
        <w:autoSpaceDN w:val="0"/>
        <w:bidi w:val="0"/>
        <w:adjustRightInd w:val="0"/>
        <w:snapToGrid/>
        <w:spacing w:after="0" w:line="240" w:lineRule="auto"/>
        <w:textAlignment w:val="auto"/>
        <w:rPr>
          <w:rFonts w:hint="default" w:ascii="Arial" w:hAnsi="Arial" w:cs="Arial"/>
          <w:sz w:val="24"/>
          <w:szCs w:val="24"/>
        </w:rPr>
      </w:pPr>
    </w:p>
    <w:p>
      <w:pPr>
        <w:keepNext w:val="0"/>
        <w:keepLines w:val="0"/>
        <w:pageBreakBefore w:val="0"/>
        <w:widowControl/>
        <w:kinsoku/>
        <w:wordWrap/>
        <w:overflowPunct/>
        <w:topLinePunct w:val="0"/>
        <w:autoSpaceDE w:val="0"/>
        <w:autoSpaceDN w:val="0"/>
        <w:bidi w:val="0"/>
        <w:adjustRightInd w:val="0"/>
        <w:snapToGrid/>
        <w:spacing w:after="0" w:line="240" w:lineRule="auto"/>
        <w:textAlignment w:val="auto"/>
        <w:rPr>
          <w:rFonts w:hint="default" w:ascii="Arial" w:hAnsi="Arial" w:cs="Arial"/>
          <w:sz w:val="24"/>
          <w:szCs w:val="24"/>
        </w:rPr>
      </w:pPr>
    </w:p>
    <w:p>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hint="default" w:ascii="Arial" w:hAnsi="Arial" w:cs="Arial"/>
          <w:sz w:val="24"/>
          <w:szCs w:val="24"/>
        </w:rPr>
      </w:pPr>
      <w:r>
        <w:rPr>
          <w:rFonts w:hint="default" w:ascii="Arial" w:hAnsi="Arial" w:cs="Arial"/>
          <w:sz w:val="24"/>
          <w:szCs w:val="24"/>
        </w:rPr>
        <w:t xml:space="preserve">Gabinete do Prefeito Municipal de Tenente Portela, </w:t>
      </w:r>
      <w:r>
        <w:rPr>
          <w:rFonts w:hint="default" w:ascii="Arial" w:hAnsi="Arial" w:cs="Arial"/>
          <w:sz w:val="24"/>
          <w:szCs w:val="24"/>
          <w:lang w:val="pt-BR"/>
        </w:rPr>
        <w:t>01 de novembro</w:t>
      </w:r>
      <w:r>
        <w:rPr>
          <w:rFonts w:hint="default" w:ascii="Arial" w:hAnsi="Arial" w:cs="Arial"/>
          <w:sz w:val="24"/>
          <w:szCs w:val="24"/>
        </w:rPr>
        <w:t xml:space="preserve"> de 2023.</w:t>
      </w:r>
    </w:p>
    <w:p>
      <w:pPr>
        <w:keepNext w:val="0"/>
        <w:keepLines w:val="0"/>
        <w:pageBreakBefore w:val="0"/>
        <w:widowControl/>
        <w:kinsoku/>
        <w:wordWrap/>
        <w:overflowPunct/>
        <w:topLinePunct w:val="0"/>
        <w:bidi w:val="0"/>
        <w:snapToGrid/>
        <w:spacing w:after="0" w:line="240" w:lineRule="auto"/>
        <w:jc w:val="right"/>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right"/>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right"/>
        <w:textAlignment w:val="auto"/>
        <w:rPr>
          <w:rFonts w:hint="default" w:ascii="Arial" w:hAnsi="Arial" w:cs="Arial"/>
          <w:b/>
          <w:sz w:val="24"/>
          <w:szCs w:val="24"/>
        </w:rPr>
      </w:pPr>
    </w:p>
    <w:p>
      <w:pPr>
        <w:keepNext w:val="0"/>
        <w:keepLines w:val="0"/>
        <w:pageBreakBefore w:val="0"/>
        <w:widowControl/>
        <w:kinsoku/>
        <w:wordWrap/>
        <w:overflowPunct/>
        <w:topLinePunct w:val="0"/>
        <w:bidi w:val="0"/>
        <w:snapToGrid/>
        <w:spacing w:after="0" w:line="240" w:lineRule="auto"/>
        <w:jc w:val="right"/>
        <w:textAlignment w:val="auto"/>
        <w:rPr>
          <w:rFonts w:hint="default" w:ascii="Arial" w:hAnsi="Arial" w:cs="Arial"/>
          <w:b/>
          <w:sz w:val="24"/>
          <w:szCs w:val="24"/>
        </w:rPr>
      </w:pPr>
      <w:r>
        <w:rPr>
          <w:rFonts w:hint="default" w:ascii="Arial" w:hAnsi="Arial" w:cs="Arial"/>
          <w:b/>
          <w:sz w:val="24"/>
          <w:szCs w:val="24"/>
        </w:rPr>
        <w:t>ROSEMAR ANT</w:t>
      </w:r>
      <w:r>
        <w:rPr>
          <w:rFonts w:hint="default" w:ascii="Arial" w:hAnsi="Arial" w:cs="Arial"/>
          <w:b/>
          <w:sz w:val="24"/>
          <w:szCs w:val="24"/>
          <w:lang w:val="pt-BR"/>
        </w:rPr>
        <w:t>O</w:t>
      </w:r>
      <w:r>
        <w:rPr>
          <w:rFonts w:hint="default" w:ascii="Arial" w:hAnsi="Arial" w:cs="Arial"/>
          <w:b/>
          <w:sz w:val="24"/>
          <w:szCs w:val="24"/>
        </w:rPr>
        <w:t>NIO SALA,</w:t>
      </w:r>
    </w:p>
    <w:p>
      <w:pPr>
        <w:keepNext w:val="0"/>
        <w:keepLines w:val="0"/>
        <w:pageBreakBefore w:val="0"/>
        <w:widowControl/>
        <w:kinsoku/>
        <w:wordWrap/>
        <w:overflowPunct/>
        <w:topLinePunct w:val="0"/>
        <w:bidi w:val="0"/>
        <w:snapToGrid/>
        <w:spacing w:after="0" w:line="240" w:lineRule="auto"/>
        <w:jc w:val="right"/>
        <w:textAlignment w:val="auto"/>
        <w:rPr>
          <w:rFonts w:hint="default" w:ascii="Arial" w:hAnsi="Arial" w:cs="Arial"/>
          <w:b w:val="0"/>
          <w:bCs/>
          <w:sz w:val="24"/>
          <w:szCs w:val="24"/>
          <w:lang w:val="pt-BR"/>
        </w:rPr>
      </w:pPr>
      <w:r>
        <w:rPr>
          <w:rFonts w:hint="default" w:ascii="Arial" w:hAnsi="Arial" w:cs="Arial"/>
          <w:b/>
          <w:sz w:val="24"/>
          <w:szCs w:val="24"/>
        </w:rPr>
        <w:t xml:space="preserve">                                                                              </w:t>
      </w:r>
      <w:r>
        <w:rPr>
          <w:rFonts w:hint="default" w:ascii="Arial" w:hAnsi="Arial" w:cs="Arial"/>
          <w:b w:val="0"/>
          <w:bCs/>
          <w:sz w:val="24"/>
          <w:szCs w:val="24"/>
        </w:rPr>
        <w:t xml:space="preserve">  Prefeito de Tenente Portela</w:t>
      </w:r>
      <w:r>
        <w:rPr>
          <w:rFonts w:hint="default" w:ascii="Arial" w:hAnsi="Arial" w:cs="Arial"/>
          <w:b w:val="0"/>
          <w:bCs/>
          <w:sz w:val="24"/>
          <w:szCs w:val="24"/>
          <w:lang w:val="pt-BR"/>
        </w:rPr>
        <w:t>/RS</w:t>
      </w: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r>
        <w:rPr>
          <w:rFonts w:hint="default" w:ascii="Arial" w:hAnsi="Arial" w:cs="Arial"/>
          <w:sz w:val="24"/>
          <w:szCs w:val="24"/>
        </w:rPr>
        <w:t>Registre-se e Publique-se:</w:t>
      </w: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lang w:val="pt-BR"/>
        </w:rPr>
      </w:pPr>
      <w:r>
        <w:rPr>
          <w:rFonts w:hint="default" w:ascii="Arial" w:hAnsi="Arial" w:cs="Arial"/>
          <w:sz w:val="24"/>
          <w:szCs w:val="24"/>
        </w:rPr>
        <w:t xml:space="preserve">Em </w:t>
      </w:r>
      <w:r>
        <w:rPr>
          <w:rFonts w:hint="default" w:ascii="Arial" w:hAnsi="Arial" w:cs="Arial"/>
          <w:sz w:val="24"/>
          <w:szCs w:val="24"/>
          <w:lang w:val="pt-BR"/>
        </w:rPr>
        <w:t>01 de novembro</w:t>
      </w:r>
      <w:r>
        <w:rPr>
          <w:rFonts w:hint="default" w:ascii="Arial" w:hAnsi="Arial" w:cs="Arial"/>
          <w:sz w:val="24"/>
          <w:szCs w:val="24"/>
        </w:rPr>
        <w:t xml:space="preserve"> de 2023</w:t>
      </w:r>
      <w:r>
        <w:rPr>
          <w:rFonts w:hint="default" w:ascii="Arial" w:hAnsi="Arial" w:cs="Arial"/>
          <w:sz w:val="24"/>
          <w:szCs w:val="24"/>
          <w:lang w:val="pt-BR"/>
        </w:rPr>
        <w:t>.</w:t>
      </w: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bookmarkStart w:id="0" w:name="_GoBack"/>
      <w:bookmarkEnd w:id="0"/>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b/>
          <w:bCs/>
          <w:sz w:val="24"/>
          <w:szCs w:val="24"/>
        </w:rPr>
      </w:pPr>
      <w:r>
        <w:rPr>
          <w:rFonts w:hint="default" w:ascii="Arial" w:hAnsi="Arial" w:cs="Arial"/>
          <w:b/>
          <w:bCs/>
          <w:sz w:val="24"/>
          <w:szCs w:val="24"/>
        </w:rPr>
        <w:t>PAULO JOSSELINO FARIAS</w:t>
      </w:r>
    </w:p>
    <w:p>
      <w:pPr>
        <w:keepNext w:val="0"/>
        <w:keepLines w:val="0"/>
        <w:pageBreakBefore w:val="0"/>
        <w:widowControl/>
        <w:kinsoku/>
        <w:wordWrap/>
        <w:overflowPunct/>
        <w:topLinePunct w:val="0"/>
        <w:bidi w:val="0"/>
        <w:snapToGrid/>
        <w:spacing w:after="0" w:line="240" w:lineRule="auto"/>
        <w:jc w:val="both"/>
        <w:textAlignment w:val="auto"/>
        <w:rPr>
          <w:rFonts w:hint="default" w:ascii="Arial" w:hAnsi="Arial" w:cs="Arial"/>
          <w:sz w:val="24"/>
          <w:szCs w:val="24"/>
        </w:rPr>
      </w:pPr>
      <w:r>
        <w:rPr>
          <w:rFonts w:hint="default" w:ascii="Arial" w:hAnsi="Arial" w:cs="Arial"/>
          <w:sz w:val="24"/>
          <w:szCs w:val="24"/>
        </w:rPr>
        <w:t>Sec. Municipal de Administração, Planejamento e Comunicação Social</w:t>
      </w:r>
    </w:p>
    <w:sectPr>
      <w:headerReference r:id="rId5" w:type="default"/>
      <w:footerReference r:id="rId6" w:type="default"/>
      <w:pgSz w:w="11906" w:h="16838"/>
      <w:pgMar w:top="1440" w:right="1080" w:bottom="1440" w:left="108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eastAsia="pt-BR"/>
      </w:rPr>
      <w:drawing>
        <wp:inline distT="0" distB="0" distL="114300" distR="114300">
          <wp:extent cx="6181725" cy="529590"/>
          <wp:effectExtent l="0" t="0" r="9525" b="3810"/>
          <wp:docPr id="7" name="Imagem 7" descr="rodapé 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rodapé timbre"/>
                  <pic:cNvPicPr>
                    <a:picLocks noChangeAspect="1"/>
                  </pic:cNvPicPr>
                </pic:nvPicPr>
                <pic:blipFill>
                  <a:blip r:embed="rId1"/>
                  <a:stretch>
                    <a:fillRect/>
                  </a:stretch>
                </pic:blipFill>
                <pic:spPr>
                  <a:xfrm>
                    <a:off x="0" y="0"/>
                    <a:ext cx="6181725" cy="529590"/>
                  </a:xfrm>
                  <a:prstGeom prst="rect">
                    <a:avLst/>
                  </a:prstGeom>
                </pic:spPr>
              </pic:pic>
            </a:graphicData>
          </a:graphic>
        </wp:inline>
      </w:drawing>
    </w:r>
  </w:p>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lang w:eastAsia="pt-BR"/>
      </w:rPr>
      <w:drawing>
        <wp:inline distT="0" distB="0" distL="114300" distR="114300">
          <wp:extent cx="6181725" cy="1123950"/>
          <wp:effectExtent l="0" t="0" r="9525" b="0"/>
          <wp:docPr id="4" name="Imagem 4" descr="CABEÇALHO 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ABEÇALHO TIMBRE"/>
                  <pic:cNvPicPr>
                    <a:picLocks noChangeAspect="1"/>
                  </pic:cNvPicPr>
                </pic:nvPicPr>
                <pic:blipFill>
                  <a:blip r:embed="rId1"/>
                  <a:stretch>
                    <a:fillRect/>
                  </a:stretch>
                </pic:blipFill>
                <pic:spPr>
                  <a:xfrm>
                    <a:off x="0" y="0"/>
                    <a:ext cx="6181725" cy="1123950"/>
                  </a:xfrm>
                  <a:prstGeom prst="rect">
                    <a:avLst/>
                  </a:prstGeom>
                </pic:spPr>
              </pic:pic>
            </a:graphicData>
          </a:graphic>
        </wp:inline>
      </w:drawing>
    </w:r>
  </w:p>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5E18FD"/>
    <w:multiLevelType w:val="singleLevel"/>
    <w:tmpl w:val="0A5E18FD"/>
    <w:lvl w:ilvl="0" w:tentative="0">
      <w:start w:val="1"/>
      <w:numFmt w:val="upperRoman"/>
      <w:suff w:val="space"/>
      <w:lvlText w:val="%1)"/>
      <w:lvlJc w:val="left"/>
      <w:pPr>
        <w:ind w:left="708" w:leftChars="0" w:firstLine="0" w:firstLineChars="0"/>
      </w:pPr>
    </w:lvl>
  </w:abstractNum>
  <w:abstractNum w:abstractNumId="1">
    <w:nsid w:val="1B27BE2A"/>
    <w:multiLevelType w:val="singleLevel"/>
    <w:tmpl w:val="1B27BE2A"/>
    <w:lvl w:ilvl="0" w:tentative="0">
      <w:start w:val="1"/>
      <w:numFmt w:val="upperRoman"/>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886"/>
    <w:rsid w:val="00017D91"/>
    <w:rsid w:val="0005795C"/>
    <w:rsid w:val="00066C4E"/>
    <w:rsid w:val="00071C01"/>
    <w:rsid w:val="00072669"/>
    <w:rsid w:val="00073139"/>
    <w:rsid w:val="000A7BB5"/>
    <w:rsid w:val="000D06B5"/>
    <w:rsid w:val="000E011F"/>
    <w:rsid w:val="00110981"/>
    <w:rsid w:val="001131B0"/>
    <w:rsid w:val="00123757"/>
    <w:rsid w:val="00143E6B"/>
    <w:rsid w:val="00190DDC"/>
    <w:rsid w:val="0019245B"/>
    <w:rsid w:val="001B4154"/>
    <w:rsid w:val="001C2EDE"/>
    <w:rsid w:val="001D09FB"/>
    <w:rsid w:val="002126AF"/>
    <w:rsid w:val="00231D2C"/>
    <w:rsid w:val="002334E8"/>
    <w:rsid w:val="002653F6"/>
    <w:rsid w:val="00270CB0"/>
    <w:rsid w:val="002826DD"/>
    <w:rsid w:val="003438C9"/>
    <w:rsid w:val="00362230"/>
    <w:rsid w:val="003660CD"/>
    <w:rsid w:val="00395896"/>
    <w:rsid w:val="003A0D14"/>
    <w:rsid w:val="0043504B"/>
    <w:rsid w:val="0044072A"/>
    <w:rsid w:val="00490772"/>
    <w:rsid w:val="004C6F51"/>
    <w:rsid w:val="004D1718"/>
    <w:rsid w:val="004D2C18"/>
    <w:rsid w:val="005067C7"/>
    <w:rsid w:val="00514B1B"/>
    <w:rsid w:val="00531D59"/>
    <w:rsid w:val="005462BC"/>
    <w:rsid w:val="00561CA4"/>
    <w:rsid w:val="005A0E08"/>
    <w:rsid w:val="005A70B1"/>
    <w:rsid w:val="005D75A1"/>
    <w:rsid w:val="005E3920"/>
    <w:rsid w:val="00616DDB"/>
    <w:rsid w:val="00622732"/>
    <w:rsid w:val="00647265"/>
    <w:rsid w:val="00676AAA"/>
    <w:rsid w:val="006D7920"/>
    <w:rsid w:val="0070231C"/>
    <w:rsid w:val="007459E4"/>
    <w:rsid w:val="00745E16"/>
    <w:rsid w:val="00772AA7"/>
    <w:rsid w:val="00772AFD"/>
    <w:rsid w:val="007A4F41"/>
    <w:rsid w:val="007A64D4"/>
    <w:rsid w:val="007B4221"/>
    <w:rsid w:val="008076E0"/>
    <w:rsid w:val="008166A4"/>
    <w:rsid w:val="0081745A"/>
    <w:rsid w:val="00875BE4"/>
    <w:rsid w:val="008C2F32"/>
    <w:rsid w:val="008C4D75"/>
    <w:rsid w:val="008F215E"/>
    <w:rsid w:val="00900A49"/>
    <w:rsid w:val="00932330"/>
    <w:rsid w:val="00936516"/>
    <w:rsid w:val="00944E02"/>
    <w:rsid w:val="00975D3E"/>
    <w:rsid w:val="009D59D4"/>
    <w:rsid w:val="009F2446"/>
    <w:rsid w:val="009F5F3D"/>
    <w:rsid w:val="00A36F74"/>
    <w:rsid w:val="00A37108"/>
    <w:rsid w:val="00A47255"/>
    <w:rsid w:val="00A63B41"/>
    <w:rsid w:val="00A7219F"/>
    <w:rsid w:val="00AA1760"/>
    <w:rsid w:val="00B27D61"/>
    <w:rsid w:val="00B300E8"/>
    <w:rsid w:val="00B62B83"/>
    <w:rsid w:val="00B92886"/>
    <w:rsid w:val="00BC664F"/>
    <w:rsid w:val="00BD254A"/>
    <w:rsid w:val="00BF0AC5"/>
    <w:rsid w:val="00C0729D"/>
    <w:rsid w:val="00C23E0A"/>
    <w:rsid w:val="00C23EB5"/>
    <w:rsid w:val="00C33F23"/>
    <w:rsid w:val="00C64E28"/>
    <w:rsid w:val="00CE5137"/>
    <w:rsid w:val="00CF1A89"/>
    <w:rsid w:val="00D40132"/>
    <w:rsid w:val="00D61DE6"/>
    <w:rsid w:val="00D64DC1"/>
    <w:rsid w:val="00D74A30"/>
    <w:rsid w:val="00D94A8E"/>
    <w:rsid w:val="00DC3088"/>
    <w:rsid w:val="00DE407C"/>
    <w:rsid w:val="00DE4689"/>
    <w:rsid w:val="00E036B0"/>
    <w:rsid w:val="00E5489B"/>
    <w:rsid w:val="00E66299"/>
    <w:rsid w:val="00E97467"/>
    <w:rsid w:val="00EA4B5B"/>
    <w:rsid w:val="00F165ED"/>
    <w:rsid w:val="00FD209C"/>
    <w:rsid w:val="020B406E"/>
    <w:rsid w:val="05491403"/>
    <w:rsid w:val="054C2F2B"/>
    <w:rsid w:val="089534DD"/>
    <w:rsid w:val="091B157F"/>
    <w:rsid w:val="0A6D18E6"/>
    <w:rsid w:val="0B9F1F27"/>
    <w:rsid w:val="0C5A5D48"/>
    <w:rsid w:val="0D92714F"/>
    <w:rsid w:val="0E002BB8"/>
    <w:rsid w:val="0EBE66C8"/>
    <w:rsid w:val="10C2280A"/>
    <w:rsid w:val="16367C4C"/>
    <w:rsid w:val="185D2A7F"/>
    <w:rsid w:val="1B8865FD"/>
    <w:rsid w:val="1C7960CF"/>
    <w:rsid w:val="1E034500"/>
    <w:rsid w:val="1EB74723"/>
    <w:rsid w:val="250869D2"/>
    <w:rsid w:val="263A4322"/>
    <w:rsid w:val="291749E5"/>
    <w:rsid w:val="2B6A7F2E"/>
    <w:rsid w:val="2BBC6FEB"/>
    <w:rsid w:val="2DD1529A"/>
    <w:rsid w:val="30914531"/>
    <w:rsid w:val="32DE169C"/>
    <w:rsid w:val="37D6437A"/>
    <w:rsid w:val="397C1C8D"/>
    <w:rsid w:val="3AE917D3"/>
    <w:rsid w:val="3D550FA9"/>
    <w:rsid w:val="3DC34928"/>
    <w:rsid w:val="3E741203"/>
    <w:rsid w:val="40A7413A"/>
    <w:rsid w:val="43F20826"/>
    <w:rsid w:val="46312ED3"/>
    <w:rsid w:val="471F2B30"/>
    <w:rsid w:val="481700D5"/>
    <w:rsid w:val="49A8601C"/>
    <w:rsid w:val="4A0B01F8"/>
    <w:rsid w:val="4A1732C1"/>
    <w:rsid w:val="50933D6D"/>
    <w:rsid w:val="52C74B5B"/>
    <w:rsid w:val="54360376"/>
    <w:rsid w:val="553629ED"/>
    <w:rsid w:val="5AB77B07"/>
    <w:rsid w:val="5ACD2ECD"/>
    <w:rsid w:val="5C785670"/>
    <w:rsid w:val="5D2826D9"/>
    <w:rsid w:val="5DD01295"/>
    <w:rsid w:val="62D4685E"/>
    <w:rsid w:val="63452374"/>
    <w:rsid w:val="6438791B"/>
    <w:rsid w:val="658C13BF"/>
    <w:rsid w:val="659F7D1B"/>
    <w:rsid w:val="6B2D01A8"/>
    <w:rsid w:val="6BAA5F82"/>
    <w:rsid w:val="6E384DCF"/>
    <w:rsid w:val="6FBE50AF"/>
    <w:rsid w:val="70A90122"/>
    <w:rsid w:val="71E22930"/>
    <w:rsid w:val="72264B70"/>
    <w:rsid w:val="72A73527"/>
    <w:rsid w:val="76446418"/>
    <w:rsid w:val="7B384722"/>
    <w:rsid w:val="7FD73723"/>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name="Body Text 2"/>
    <w:lsdException w:qFormat="1"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qFormat="1" w:unhideWhenUsed="0" w:uiPriority="0"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2"/>
    <w:next w:val="1"/>
    <w:semiHidden/>
    <w:unhideWhenUsed/>
    <w:qFormat/>
    <w:uiPriority w:val="9"/>
    <w:pPr>
      <w:spacing w:beforeAutospacing="1" w:afterAutospacing="1"/>
      <w:outlineLvl w:val="1"/>
    </w:pPr>
    <w:rPr>
      <w:rFonts w:hint="eastAsia" w:ascii="SimSun" w:hAnsi="SimSun" w:eastAsia="SimSun" w:cs="Times New Roman"/>
      <w:b/>
      <w:bCs/>
      <w:i/>
      <w:sz w:val="36"/>
      <w:szCs w:val="36"/>
      <w:lang w:val="en-US" w:eastAsia="zh-CN" w:bidi="ar-SA"/>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character" w:styleId="6">
    <w:name w:val="Hyperlink"/>
    <w:basedOn w:val="3"/>
    <w:semiHidden/>
    <w:unhideWhenUsed/>
    <w:qFormat/>
    <w:uiPriority w:val="99"/>
    <w:rPr>
      <w:color w:val="0000FF"/>
      <w:u w:val="single"/>
    </w:rPr>
  </w:style>
  <w:style w:type="paragraph" w:styleId="7">
    <w:name w:val="Body Text 3"/>
    <w:basedOn w:val="1"/>
    <w:semiHidden/>
    <w:unhideWhenUsed/>
    <w:qFormat/>
    <w:uiPriority w:val="99"/>
    <w:pPr>
      <w:spacing w:after="120"/>
    </w:pPr>
    <w:rPr>
      <w:sz w:val="16"/>
      <w:szCs w:val="16"/>
    </w:rPr>
  </w:style>
  <w:style w:type="paragraph" w:styleId="8">
    <w:name w:val="Body Text 2"/>
    <w:basedOn w:val="1"/>
    <w:semiHidden/>
    <w:unhideWhenUsed/>
    <w:qFormat/>
    <w:uiPriority w:val="99"/>
    <w:pPr>
      <w:spacing w:after="120" w:line="480" w:lineRule="auto"/>
    </w:pPr>
  </w:style>
  <w:style w:type="paragraph" w:styleId="9">
    <w:name w:val="header"/>
    <w:basedOn w:val="1"/>
    <w:link w:val="13"/>
    <w:unhideWhenUsed/>
    <w:qFormat/>
    <w:uiPriority w:val="99"/>
    <w:pPr>
      <w:tabs>
        <w:tab w:val="center" w:pos="4252"/>
        <w:tab w:val="right" w:pos="8504"/>
      </w:tabs>
      <w:spacing w:after="0" w:line="240" w:lineRule="auto"/>
    </w:pPr>
  </w:style>
  <w:style w:type="paragraph" w:styleId="10">
    <w:name w:val="footer"/>
    <w:basedOn w:val="1"/>
    <w:link w:val="14"/>
    <w:unhideWhenUsed/>
    <w:qFormat/>
    <w:uiPriority w:val="99"/>
    <w:pPr>
      <w:tabs>
        <w:tab w:val="center" w:pos="4252"/>
        <w:tab w:val="right" w:pos="8504"/>
      </w:tabs>
      <w:spacing w:after="0" w:line="240" w:lineRule="auto"/>
    </w:pPr>
  </w:style>
  <w:style w:type="paragraph" w:styleId="11">
    <w:name w:val="Balloon Text"/>
    <w:basedOn w:val="1"/>
    <w:link w:val="17"/>
    <w:semiHidden/>
    <w:unhideWhenUsed/>
    <w:qFormat/>
    <w:uiPriority w:val="99"/>
    <w:pPr>
      <w:spacing w:after="0" w:line="240" w:lineRule="auto"/>
    </w:pPr>
    <w:rPr>
      <w:rFonts w:ascii="Tahoma" w:hAnsi="Tahoma" w:cs="Tahoma"/>
      <w:sz w:val="16"/>
      <w:szCs w:val="16"/>
    </w:rPr>
  </w:style>
  <w:style w:type="table" w:styleId="12">
    <w:name w:val="Table Grid"/>
    <w:basedOn w:val="4"/>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3">
    <w:name w:val="Cabeçalho Char"/>
    <w:basedOn w:val="3"/>
    <w:link w:val="9"/>
    <w:qFormat/>
    <w:uiPriority w:val="99"/>
  </w:style>
  <w:style w:type="character" w:customStyle="1" w:styleId="14">
    <w:name w:val="Rodapé Char"/>
    <w:basedOn w:val="3"/>
    <w:link w:val="10"/>
    <w:qFormat/>
    <w:uiPriority w:val="99"/>
  </w:style>
  <w:style w:type="paragraph" w:customStyle="1" w:styleId="15">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paragraph" w:styleId="16">
    <w:name w:val="No Spacing"/>
    <w:basedOn w:val="1"/>
    <w:qFormat/>
    <w:uiPriority w:val="1"/>
    <w:rPr>
      <w:rFonts w:ascii="Calibri" w:hAnsi="Calibri"/>
      <w:sz w:val="20"/>
      <w:szCs w:val="20"/>
      <w:lang w:val="en-US" w:bidi="en-US"/>
    </w:rPr>
  </w:style>
  <w:style w:type="character" w:customStyle="1" w:styleId="17">
    <w:name w:val="Texto de balão Char"/>
    <w:basedOn w:val="3"/>
    <w:link w:val="11"/>
    <w:semiHidden/>
    <w:qFormat/>
    <w:uiPriority w:val="99"/>
    <w:rPr>
      <w:rFonts w:ascii="Tahoma" w:hAnsi="Tahoma" w:cs="Tahoma" w:eastAsiaTheme="minorHAnsi"/>
      <w:sz w:val="16"/>
      <w:szCs w:val="16"/>
      <w:lang w:eastAsia="en-US"/>
    </w:rPr>
  </w:style>
  <w:style w:type="paragraph" w:styleId="18">
    <w:name w:val="List Paragraph"/>
    <w:basedOn w:val="1"/>
    <w:qFormat/>
    <w:uiPriority w:val="0"/>
    <w:pPr>
      <w:spacing w:after="0" w:line="240" w:lineRule="auto"/>
      <w:ind w:left="720"/>
      <w:contextualSpacing/>
    </w:pPr>
    <w:rPr>
      <w:rFonts w:ascii="Times New Roman" w:hAnsi="Times New Roman" w:eastAsia="Times New Roman" w:cs="Times New Roman"/>
      <w:sz w:val="24"/>
      <w:szCs w:val="24"/>
      <w:lang w:eastAsia="pt-BR"/>
    </w:rPr>
  </w:style>
  <w:style w:type="character" w:customStyle="1" w:styleId="19">
    <w:name w:val="apple-converted-space"/>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1326</Words>
  <Characters>7166</Characters>
  <Lines>59</Lines>
  <Paragraphs>16</Paragraphs>
  <TotalTime>5</TotalTime>
  <ScaleCrop>false</ScaleCrop>
  <LinksUpToDate>false</LinksUpToDate>
  <CharactersWithSpaces>8476</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2023-02-16T12:04:00Z</dcterms:created>
  <dc:creator>PAULO FARIAS</dc:creator>
  <cp:lastModifiedBy>apoio-adm03</cp:lastModifiedBy>
  <cp:lastPrinted>2023-11-02T19:08:00Z</cp:lastPrinted>
  <dcterms:modified xsi:type="dcterms:W3CDTF">2023-11-06T20:23:01Z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1046-12.2.0.13306</vt:lpwstr>
  </property>
  <property fmtid="{D5CDD505-2E9C-101B-9397-08002B2CF9AE}" pid="3" name="ICV">
    <vt:lpwstr>874F0A9F13F54ACB81AB9E386D9C5BAD_13</vt:lpwstr>
  </property>
</Properties>
</file>