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0E93E099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 xml:space="preserve">a aquisição </w:t>
      </w:r>
      <w:r>
        <w:rPr>
          <w:rFonts w:hint="default" w:cs="Calibri"/>
          <w:spacing w:val="0"/>
          <w:sz w:val="20"/>
          <w:szCs w:val="20"/>
          <w:lang w:val="pt-BR" w:eastAsia="zh-CN" w:bidi="ar-SA"/>
        </w:rPr>
        <w:t>de móveis a serem utilizados em eventos oficiais do município.</w:t>
      </w:r>
    </w:p>
    <w:p w14:paraId="36C0B87B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381"/>
        <w:gridCol w:w="764"/>
        <w:gridCol w:w="1123"/>
        <w:gridCol w:w="1253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381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64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23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1253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381" w:type="dxa"/>
            <w:noWrap w:val="0"/>
            <w:vAlign w:val="top"/>
          </w:tcPr>
          <w:p w14:paraId="239AB50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Mesa em bistrô Adhara tampo dem madeira- (redondo)</w:t>
            </w:r>
          </w:p>
        </w:tc>
        <w:tc>
          <w:tcPr>
            <w:tcW w:w="764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EE75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F1089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381" w:type="dxa"/>
            <w:noWrap w:val="0"/>
            <w:vAlign w:val="top"/>
          </w:tcPr>
          <w:p w14:paraId="530D0E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Banquetas Adhara para bistrô- Amêndoa)</w:t>
            </w:r>
          </w:p>
        </w:tc>
        <w:tc>
          <w:tcPr>
            <w:tcW w:w="764" w:type="dxa"/>
            <w:noWrap w:val="0"/>
            <w:vAlign w:val="top"/>
          </w:tcPr>
          <w:p w14:paraId="3683415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1123" w:type="dxa"/>
            <w:noWrap w:val="0"/>
            <w:vAlign w:val="top"/>
          </w:tcPr>
          <w:p w14:paraId="6E7BC29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26B5508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2BD3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51475F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381" w:type="dxa"/>
            <w:noWrap w:val="0"/>
            <w:vAlign w:val="top"/>
          </w:tcPr>
          <w:p w14:paraId="1C5C397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Poltronas estofadas- pés em madeira- encosto revestido em tecido couríssimo- assento e encosto interno em tecido linho</w:t>
            </w:r>
            <w:bookmarkStart w:id="0" w:name="_GoBack"/>
            <w:bookmarkEnd w:id="0"/>
          </w:p>
        </w:tc>
        <w:tc>
          <w:tcPr>
            <w:tcW w:w="764" w:type="dxa"/>
            <w:noWrap w:val="0"/>
            <w:vAlign w:val="top"/>
          </w:tcPr>
          <w:p w14:paraId="44DEBC6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23" w:type="dxa"/>
            <w:noWrap w:val="0"/>
            <w:vAlign w:val="top"/>
          </w:tcPr>
          <w:p w14:paraId="4C6F94C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4F68C0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2BA1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  <w:gridSpan w:val="5"/>
            <w:noWrap w:val="0"/>
            <w:vAlign w:val="top"/>
          </w:tcPr>
          <w:p w14:paraId="381FA21C">
            <w:pPr>
              <w:spacing w:line="360" w:lineRule="auto"/>
              <w:ind w:right="118" w:firstLine="6425" w:firstLineChars="320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b/>
                <w:bCs/>
                <w:spacing w:val="0"/>
                <w:sz w:val="20"/>
                <w:szCs w:val="20"/>
                <w:lang w:val="en-US" w:eastAsia="pt-BR" w:bidi="ar-SA"/>
              </w:rPr>
              <w:t>TOTAL</w:t>
            </w:r>
          </w:p>
        </w:tc>
      </w:tr>
    </w:tbl>
    <w:p w14:paraId="6C4BFEF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20526E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41F3A8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DB219F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589B1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4D77CAD1">
      <w:pPr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3A65C8A"/>
    <w:rsid w:val="077737FA"/>
    <w:rsid w:val="0F4021B3"/>
    <w:rsid w:val="10392CBF"/>
    <w:rsid w:val="11CB5A3B"/>
    <w:rsid w:val="17F875F6"/>
    <w:rsid w:val="1A0B0B74"/>
    <w:rsid w:val="1E2458FF"/>
    <w:rsid w:val="1EFE1642"/>
    <w:rsid w:val="1F77771A"/>
    <w:rsid w:val="208E5E88"/>
    <w:rsid w:val="232E316E"/>
    <w:rsid w:val="29733E33"/>
    <w:rsid w:val="29924D42"/>
    <w:rsid w:val="2CC05287"/>
    <w:rsid w:val="2DD10DEF"/>
    <w:rsid w:val="2F260115"/>
    <w:rsid w:val="313A1850"/>
    <w:rsid w:val="3389284D"/>
    <w:rsid w:val="34600482"/>
    <w:rsid w:val="381F40A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D54E3E"/>
    <w:rsid w:val="4DF318B0"/>
    <w:rsid w:val="53EC6128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6D510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2025-09-05T17:14:33Z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